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jc w:val="right"/>
        <w:rPr>
          <w:b w:val="false"/>
          <w:bCs w:val="false"/>
          <w:i w:val="false"/>
          <w:iCs w:val="false"/>
          <w:color w:val="000000"/>
          <w:lang w:val="mn-Cyrl-MN"/>
        </w:rPr>
      </w:pPr>
      <w:r>
        <w:rPr>
          <w:b w:val="false"/>
          <w:bCs w:val="false"/>
          <w:i w:val="false"/>
          <w:iCs w:val="false"/>
          <w:color w:val="000000"/>
          <w:lang w:val="mn-Cyrl-MN"/>
        </w:rPr>
        <w:t>Төсөл</w:t>
      </w:r>
    </w:p>
    <w:p>
      <w:pPr>
        <w:pStyle w:val="Normal"/>
        <w:spacing w:before="0" w:after="0"/>
        <w:jc w:val="center"/>
        <w:rPr>
          <w:b/>
          <w:color w:val="000000"/>
          <w:sz w:val="28"/>
          <w:szCs w:val="28"/>
          <w:lang w:val="mn-Cyrl-MN"/>
        </w:rPr>
      </w:pPr>
      <w:r>
        <w:rPr>
          <w:b/>
          <w:color w:val="000000"/>
          <w:sz w:val="28"/>
          <w:szCs w:val="28"/>
          <w:lang w:val="mn-Cyrl-MN"/>
        </w:rPr>
        <w:t>МОНГОЛ УЛСЫН ХУУЛЬ</w:t>
      </w:r>
    </w:p>
    <w:p>
      <w:pPr>
        <w:pStyle w:val="Normal"/>
        <w:spacing w:before="0" w:after="0"/>
        <w:jc w:val="center"/>
        <w:rPr>
          <w:b/>
          <w:color w:val="000000"/>
          <w:lang w:val="mn-Cyrl-MN"/>
        </w:rPr>
      </w:pPr>
      <w:r>
        <w:rPr>
          <w:b/>
          <w:color w:val="000000"/>
          <w:lang w:val="mn-Cyrl-MN"/>
        </w:rPr>
      </w:r>
    </w:p>
    <w:p>
      <w:pPr>
        <w:pStyle w:val="Normal"/>
        <w:spacing w:before="0" w:after="0"/>
        <w:jc w:val="center"/>
        <w:rPr>
          <w:color w:val="000000"/>
          <w:lang w:val="mn-Cyrl-MN"/>
        </w:rPr>
      </w:pPr>
      <w:r>
        <w:rPr>
          <w:color w:val="000000"/>
          <w:lang w:val="mn-Cyrl-MN"/>
        </w:rPr>
      </w:r>
    </w:p>
    <w:p>
      <w:pPr>
        <w:pStyle w:val="Normal"/>
        <w:tabs>
          <w:tab w:val="right" w:pos="9780" w:leader="none"/>
        </w:tabs>
        <w:spacing w:before="0" w:after="0"/>
        <w:rPr>
          <w:color w:val="000000"/>
          <w:lang w:val="mn-Cyrl-MN"/>
        </w:rPr>
      </w:pPr>
      <w:r>
        <w:rPr>
          <w:color w:val="000000"/>
          <w:lang w:val="mn-Cyrl-MN"/>
        </w:rPr>
        <w:t>2017 оны .. дугаар</w:t>
        <w:tab/>
        <w:t>Улаанбаатар</w:t>
      </w:r>
    </w:p>
    <w:p>
      <w:pPr>
        <w:pStyle w:val="Normal"/>
        <w:spacing w:before="0" w:after="0"/>
        <w:rPr>
          <w:color w:val="000000"/>
          <w:lang w:val="mn-Cyrl-MN"/>
        </w:rPr>
      </w:pPr>
      <w:r>
        <w:rPr>
          <w:color w:val="000000"/>
          <w:lang w:val="mn-Cyrl-MN"/>
        </w:rPr>
        <w:t>сарын …</w:t>
      </w:r>
      <w:r>
        <w:rPr>
          <w:color w:val="000000"/>
          <w:lang w:val="mn-Cyrl-MN"/>
        </w:rPr>
        <w:t xml:space="preserve"> </w:t>
      </w:r>
      <w:r>
        <w:rPr>
          <w:color w:val="000000"/>
          <w:lang w:val="mn-Cyrl-MN"/>
        </w:rPr>
        <w:t>-ны өдөр</w:t>
        <w:tab/>
        <w:tab/>
        <w:tab/>
        <w:tab/>
        <w:tab/>
        <w:tab/>
        <w:t xml:space="preserve">                                </w:t>
      </w:r>
      <w:r>
        <w:rPr>
          <w:color w:val="000000"/>
        </w:rPr>
        <w:t xml:space="preserve">               </w:t>
      </w:r>
      <w:r>
        <w:rPr>
          <w:color w:val="000000"/>
          <w:lang w:val="mn-Cyrl-MN"/>
        </w:rPr>
        <w:t>хот</w:t>
      </w:r>
    </w:p>
    <w:p>
      <w:pPr>
        <w:pStyle w:val="Heading1"/>
        <w:spacing w:before="320" w:after="160"/>
        <w:jc w:val="center"/>
        <w:rPr>
          <w:color w:val="000000"/>
          <w:lang w:val="mn-Cyrl-MN"/>
        </w:rPr>
      </w:pPr>
      <w:r>
        <w:rPr>
          <w:color w:val="000000"/>
          <w:lang w:val="mn-Cyrl-MN"/>
        </w:rPr>
        <w:t>БАГШИЙН ХӨГЖЛИЙН ТУХАЙ</w:t>
      </w:r>
    </w:p>
    <w:p>
      <w:pPr>
        <w:pStyle w:val="Heading1"/>
        <w:spacing w:before="0" w:after="0"/>
        <w:jc w:val="center"/>
        <w:rPr>
          <w:color w:val="000000"/>
          <w:lang w:val="mn-Cyrl-MN"/>
        </w:rPr>
      </w:pPr>
      <w:r>
        <w:rPr>
          <w:color w:val="000000"/>
          <w:lang w:val="mn-Cyrl-MN"/>
        </w:rPr>
        <w:t>НЭГДҮГЭЭР БҮЛЭГ</w:t>
      </w:r>
    </w:p>
    <w:p>
      <w:pPr>
        <w:pStyle w:val="Heading1"/>
        <w:spacing w:before="0" w:after="160"/>
        <w:jc w:val="center"/>
        <w:rPr>
          <w:color w:val="000000"/>
          <w:lang w:val="mn-Cyrl-MN"/>
        </w:rPr>
      </w:pPr>
      <w:r>
        <w:rPr>
          <w:color w:val="000000"/>
          <w:lang w:val="mn-Cyrl-MN"/>
        </w:rPr>
        <w:t>НИЙТЛЭГ ҮНДЭСЛЭЛ</w:t>
      </w:r>
    </w:p>
    <w:p>
      <w:pPr>
        <w:pStyle w:val="Heading2"/>
        <w:spacing w:before="120" w:after="160"/>
        <w:jc w:val="both"/>
        <w:rPr>
          <w:color w:val="000000"/>
          <w:lang w:val="mn-Cyrl-MN"/>
        </w:rPr>
      </w:pPr>
      <w:r>
        <w:rPr>
          <w:color w:val="000000"/>
          <w:lang w:val="mn-Cyrl-MN"/>
        </w:rPr>
        <w:tab/>
        <w:t>1 дүгээр зүйл.Хуулийн зорилт</w:t>
      </w:r>
    </w:p>
    <w:p>
      <w:pPr>
        <w:pStyle w:val="Normal"/>
        <w:jc w:val="both"/>
        <w:rPr>
          <w:color w:val="000000"/>
          <w:lang w:val="mn-Cyrl-MN"/>
        </w:rPr>
      </w:pPr>
      <w:r>
        <w:rPr>
          <w:color w:val="000000"/>
          <w:lang w:val="mn-Cyrl-MN"/>
        </w:rPr>
        <w:tab/>
        <w:t>1.1.Энэ хуулийн зорилт нь багшийн хөгжил, оролцоог дэмжих, нийгэмд эзлэх байр суурь, нийгмийн  баталгааг хангах, багшийн мэргэжлийн ёс зүй, нэр төрийг сахихад багш, төрийн байгууллага, аж ахуйн нэгж, байгууллагын эрх, үүрэг, хүлээх хариуцлагатай холбоотой харилцааг зохицуулахад оршино.</w:t>
      </w:r>
    </w:p>
    <w:p>
      <w:pPr>
        <w:pStyle w:val="Heading2"/>
        <w:spacing w:before="120" w:after="160"/>
        <w:jc w:val="both"/>
        <w:rPr>
          <w:color w:val="000000"/>
          <w:lang w:val="mn-Cyrl-MN"/>
        </w:rPr>
      </w:pPr>
      <w:r>
        <w:rPr>
          <w:color w:val="000000"/>
          <w:lang w:val="mn-Cyrl-MN"/>
        </w:rPr>
        <w:tab/>
        <w:t>2 дугаар зүйл.Багшийн хөгжлийн тухай хууль тогтоомж</w:t>
      </w:r>
    </w:p>
    <w:p>
      <w:pPr>
        <w:pStyle w:val="Normal"/>
        <w:jc w:val="both"/>
        <w:rPr>
          <w:color w:val="000000"/>
          <w:lang w:val="mn-Cyrl-MN"/>
        </w:rPr>
      </w:pPr>
      <w:r>
        <w:rPr>
          <w:color w:val="000000"/>
          <w:lang w:val="mn-Cyrl-MN"/>
        </w:rPr>
        <w:tab/>
        <w:t>2.1.Багшийн хөгжлийн тухай хууль тогтоомж нь Монгол Улсын Үндсэн хууль, энэ хууль болон эдгээр хуультай нийцүүлэн гаргасан хууль тогтоомжийн бусад  актаас  бүрдэнэ.</w:t>
      </w:r>
    </w:p>
    <w:p>
      <w:pPr>
        <w:pStyle w:val="Normal"/>
        <w:jc w:val="both"/>
        <w:rPr>
          <w:color w:val="000000"/>
          <w:lang w:val="mn-Cyrl-MN"/>
        </w:rPr>
      </w:pPr>
      <w:r>
        <w:rPr>
          <w:color w:val="000000"/>
          <w:lang w:val="mn-Cyrl-MN"/>
        </w:rPr>
        <w:tab/>
        <w:t>2.2.Монгол Улсын олон улсын гэрээнд энэ хуульд зааснаас өөрөөр заасан бол олон улсын гэрээний заалтыг дагаж мөрдөнө.</w:t>
      </w:r>
    </w:p>
    <w:p>
      <w:pPr>
        <w:pStyle w:val="Heading2"/>
        <w:spacing w:before="120" w:after="160"/>
        <w:jc w:val="both"/>
        <w:rPr>
          <w:color w:val="000000"/>
          <w:lang w:val="mn-Cyrl-MN"/>
        </w:rPr>
      </w:pPr>
      <w:r>
        <w:rPr>
          <w:color w:val="000000"/>
          <w:lang w:val="mn-Cyrl-MN"/>
        </w:rPr>
        <w:tab/>
        <w:t>3 д</w:t>
      </w:r>
      <w:r>
        <w:rPr>
          <w:color w:val="000000"/>
          <w:lang w:val="mn-Cyrl-MN"/>
        </w:rPr>
        <w:t>угаар</w:t>
      </w:r>
      <w:r>
        <w:rPr>
          <w:color w:val="000000"/>
          <w:lang w:val="mn-Cyrl-MN"/>
        </w:rPr>
        <w:t xml:space="preserve"> зүйл.Хуулийн нэр томьёоны тодорхойлолт</w:t>
      </w:r>
    </w:p>
    <w:p>
      <w:pPr>
        <w:pStyle w:val="Normal"/>
        <w:jc w:val="both"/>
        <w:rPr>
          <w:color w:val="000000"/>
          <w:lang w:val="mn-Cyrl-MN"/>
        </w:rPr>
      </w:pPr>
      <w:r>
        <w:rPr>
          <w:color w:val="000000"/>
          <w:lang w:val="mn-Cyrl-MN"/>
        </w:rPr>
        <w:tab/>
        <w:t>3.1.Энэ хуульд хэрэглэсэн дараахь нэр томьёог доор дурдсан утгаар ойлгоно:</w:t>
      </w:r>
    </w:p>
    <w:p>
      <w:pPr>
        <w:pStyle w:val="Normal"/>
        <w:jc w:val="both"/>
        <w:rPr>
          <w:color w:val="000000"/>
          <w:lang w:val="mn-Cyrl-MN"/>
        </w:rPr>
      </w:pPr>
      <w:r>
        <w:rPr>
          <w:color w:val="000000"/>
          <w:lang w:val="mn-Cyrl-MN"/>
        </w:rPr>
        <w:tab/>
        <w:tab/>
        <w:t>3.1.1.”багш” гэж Боловсролын тухай хуулийн 44 дүгээр зүйлд заасан эрх эдэлж, үүрэг хүлээж буй этгээдийг;</w:t>
      </w:r>
    </w:p>
    <w:p>
      <w:pPr>
        <w:pStyle w:val="Normal"/>
        <w:jc w:val="both"/>
        <w:rPr>
          <w:color w:val="000000"/>
          <w:lang w:val="mn-Cyrl-MN"/>
        </w:rPr>
      </w:pPr>
      <w:r>
        <w:rPr>
          <w:color w:val="000000"/>
          <w:lang w:val="mn-Cyrl-MN"/>
        </w:rPr>
        <w:tab/>
        <w:tab/>
        <w:t>3.1.2.“багшийн хөгжил” гэж мэдлэг боловсрол, мэргэжлийн ур чадвараа тасралтгүй нэмэгдүүлэх, орчин үеийн сургалтын дэвшилтэт арга барилыг сургалтад ашиглах, суралцагчдад хүмүүжил, төлөвшил, мэдээллийн үнэн зөвийг ялгах, задлан шинжлэх, нэгтгэн дүгнэх, бүтээлчээр сэтгэх, шүүмжлэн эргэцүүлэх чадварыг олгох чадамжийг;</w:t>
      </w:r>
    </w:p>
    <w:p>
      <w:pPr>
        <w:pStyle w:val="Normal"/>
        <w:jc w:val="both"/>
        <w:rPr>
          <w:color w:val="000000"/>
          <w:lang w:val="mn-Cyrl-MN"/>
        </w:rPr>
      </w:pPr>
      <w:r>
        <w:rPr>
          <w:color w:val="000000"/>
          <w:lang w:val="mn-Cyrl-MN"/>
        </w:rPr>
        <w:tab/>
        <w:tab/>
        <w:t>3.1.3.“багшийн хөгжлийн төв” гэж багш ажлын байран дээр хөгжихөд шаардлагатай материал, тоног төхөөрөмж  бүхий танхимтай боловсролын байгууллагын дотоод зохион байгуулалтын бүтцийг;</w:t>
      </w:r>
    </w:p>
    <w:p>
      <w:pPr>
        <w:pStyle w:val="Normal"/>
        <w:ind w:left="0" w:right="0" w:firstLine="1440"/>
        <w:jc w:val="both"/>
        <w:rPr>
          <w:color w:val="000000"/>
          <w:lang w:val="mn-Cyrl-MN"/>
        </w:rPr>
      </w:pPr>
      <w:r>
        <w:rPr>
          <w:color w:val="000000"/>
          <w:lang w:val="mn-Cyrl-MN"/>
        </w:rPr>
        <w:t xml:space="preserve">3.1.4.“багшийн ажил гүйцэтгэлийн үнэлгээ” гэж багшийн сурган хүмүүжүүлж буй нийт суралцагч, түүний эцэг эх, асран хамгаалагчийн сэтгэл ханамж, сурлагын амжилт, чанар, заах аргын чадвар, өөрийгөө хөгжүүлсэн байдал зэрэгтэй уялдсан багшийг үнэлэх системийг. </w:t>
      </w:r>
    </w:p>
    <w:p>
      <w:pPr>
        <w:pStyle w:val="Heading2"/>
        <w:spacing w:before="120" w:after="160"/>
        <w:jc w:val="both"/>
        <w:rPr>
          <w:color w:val="000000"/>
          <w:lang w:val="mn-Cyrl-MN"/>
        </w:rPr>
      </w:pPr>
      <w:r>
        <w:rPr>
          <w:color w:val="000000"/>
          <w:lang w:val="mn-Cyrl-MN"/>
        </w:rPr>
        <w:tab/>
        <w:t>4 дүгээр зүйл.Хуулийн үйлчлэх хүрээ</w:t>
      </w:r>
    </w:p>
    <w:p>
      <w:pPr>
        <w:pStyle w:val="Normal"/>
        <w:jc w:val="both"/>
        <w:rPr>
          <w:color w:val="000000"/>
          <w:lang w:val="mn-Cyrl-MN"/>
        </w:rPr>
      </w:pPr>
      <w:r>
        <w:rPr>
          <w:color w:val="000000"/>
          <w:lang w:val="mn-Cyrl-MN"/>
        </w:rPr>
        <w:tab/>
        <w:t>3.1.Энэ хууль Монгол улсын боловсролын салбарт ажиллаж буй дараах багш нарт үйлчилнэ. Үүнд:</w:t>
      </w:r>
    </w:p>
    <w:p>
      <w:pPr>
        <w:pStyle w:val="Normal"/>
        <w:jc w:val="both"/>
        <w:rPr>
          <w:color w:val="000000"/>
          <w:lang w:val="mn-Cyrl-MN"/>
        </w:rPr>
      </w:pPr>
      <w:r>
        <w:rPr>
          <w:color w:val="000000"/>
          <w:lang w:val="mn-Cyrl-MN"/>
        </w:rPr>
        <w:tab/>
        <w:tab/>
        <w:t xml:space="preserve">3.1.1. Сургуулийн өмнөх боловсролын салбарт ажиллаж буй багш </w:t>
      </w:r>
    </w:p>
    <w:p>
      <w:pPr>
        <w:pStyle w:val="Normal"/>
        <w:jc w:val="both"/>
        <w:rPr>
          <w:color w:val="000000"/>
          <w:lang w:val="mn-Cyrl-MN"/>
        </w:rPr>
      </w:pPr>
      <w:r>
        <w:rPr>
          <w:color w:val="000000"/>
          <w:lang w:val="mn-Cyrl-MN"/>
        </w:rPr>
        <w:tab/>
        <w:tab/>
        <w:t xml:space="preserve">3.1.2. Бага, дунд боловсролын салбарт ажиллаж буй багш </w:t>
      </w:r>
    </w:p>
    <w:p>
      <w:pPr>
        <w:pStyle w:val="Normal"/>
        <w:jc w:val="both"/>
        <w:rPr>
          <w:color w:val="000000"/>
          <w:lang w:val="mn-Cyrl-MN"/>
        </w:rPr>
      </w:pPr>
      <w:r>
        <w:rPr>
          <w:color w:val="000000"/>
          <w:lang w:val="mn-Cyrl-MN"/>
        </w:rPr>
        <w:tab/>
        <w:tab/>
        <w:t xml:space="preserve">3.1.3. Мэргэжлийн боловсролын салбарт ажиллаж буй багш </w:t>
      </w:r>
    </w:p>
    <w:p>
      <w:pPr>
        <w:pStyle w:val="Normal"/>
        <w:jc w:val="both"/>
        <w:rPr>
          <w:color w:val="000000"/>
          <w:lang w:val="mn-Cyrl-MN"/>
        </w:rPr>
      </w:pPr>
      <w:r>
        <w:rPr>
          <w:color w:val="000000"/>
          <w:lang w:val="mn-Cyrl-MN"/>
        </w:rPr>
        <w:tab/>
        <w:tab/>
        <w:t>3.1.4. Дээд боловсролын салбарт ажиллаж буй багш</w:t>
      </w:r>
    </w:p>
    <w:p>
      <w:pPr>
        <w:pStyle w:val="Heading1"/>
        <w:spacing w:before="320" w:after="0"/>
        <w:jc w:val="center"/>
        <w:rPr>
          <w:color w:val="000000"/>
          <w:lang w:val="mn-Cyrl-MN"/>
        </w:rPr>
      </w:pPr>
      <w:r>
        <w:rPr>
          <w:color w:val="000000"/>
          <w:lang w:val="mn-Cyrl-MN"/>
        </w:rPr>
        <w:t>ХОЁРДУГААР БҮЛЭГ</w:t>
      </w:r>
    </w:p>
    <w:p>
      <w:pPr>
        <w:pStyle w:val="Heading1"/>
        <w:spacing w:before="0" w:after="160"/>
        <w:jc w:val="center"/>
        <w:rPr>
          <w:color w:val="000000"/>
          <w:lang w:val="mn-Cyrl-MN"/>
        </w:rPr>
      </w:pPr>
      <w:r>
        <w:rPr>
          <w:color w:val="000000"/>
          <w:lang w:val="mn-Cyrl-MN"/>
        </w:rPr>
        <w:t>БАГШИЙН ХӨГЖЛИЙГ ДЭМЖИХ ТОГТОЛЦОО</w:t>
      </w:r>
    </w:p>
    <w:p>
      <w:pPr>
        <w:pStyle w:val="Heading2"/>
        <w:spacing w:before="120" w:after="160"/>
        <w:ind w:left="0" w:right="0" w:firstLine="720"/>
        <w:jc w:val="both"/>
        <w:rPr>
          <w:color w:val="000000"/>
          <w:lang w:val="mn-Cyrl-MN"/>
        </w:rPr>
      </w:pPr>
      <w:r>
        <w:rPr>
          <w:color w:val="000000"/>
          <w:lang w:val="mn-Cyrl-MN"/>
        </w:rPr>
        <w:t>5 дугаар зүйл.Төрөөс багшийн хөгжлийг дэмжих чиглэл</w:t>
      </w:r>
    </w:p>
    <w:p>
      <w:pPr>
        <w:pStyle w:val="Normal"/>
        <w:jc w:val="both"/>
        <w:rPr>
          <w:color w:val="000000"/>
          <w:lang w:val="mn-Cyrl-MN"/>
        </w:rPr>
      </w:pPr>
      <w:r>
        <w:rPr>
          <w:b/>
          <w:color w:val="000000"/>
          <w:lang w:val="mn-Cyrl-MN"/>
        </w:rPr>
        <w:tab/>
      </w:r>
      <w:r>
        <w:rPr>
          <w:color w:val="000000"/>
          <w:lang w:val="mn-Cyrl-MN"/>
        </w:rPr>
        <w:t>5.1.Төрөөс багшийн хөгжлийг дэмжих үйл ажиллагааг дараахь хэлбэрээр зохион байгуулна:</w:t>
      </w:r>
    </w:p>
    <w:p>
      <w:pPr>
        <w:pStyle w:val="Normal"/>
        <w:jc w:val="both"/>
        <w:rPr>
          <w:color w:val="000000"/>
          <w:lang w:val="mn-Cyrl-MN"/>
        </w:rPr>
      </w:pPr>
      <w:bookmarkStart w:id="0" w:name="_gjdgxs"/>
      <w:bookmarkEnd w:id="0"/>
      <w:r>
        <w:rPr>
          <w:color w:val="000000"/>
          <w:lang w:val="mn-Cyrl-MN"/>
        </w:rPr>
        <w:tab/>
        <w:tab/>
        <w:t>5.1.1.багшийн хөгжлийг дэмжих хөтөлбөр;</w:t>
      </w:r>
    </w:p>
    <w:p>
      <w:pPr>
        <w:pStyle w:val="Normal"/>
        <w:jc w:val="both"/>
        <w:rPr>
          <w:color w:val="000000"/>
          <w:lang w:val="mn-Cyrl-MN"/>
        </w:rPr>
      </w:pPr>
      <w:r>
        <w:rPr>
          <w:color w:val="000000"/>
          <w:lang w:val="mn-Cyrl-MN"/>
        </w:rPr>
        <w:tab/>
        <w:tab/>
        <w:t>5.1.2.багшийн хөгжлийг дэмжих төлөвлөгөө;</w:t>
      </w:r>
    </w:p>
    <w:p>
      <w:pPr>
        <w:pStyle w:val="Normal"/>
        <w:jc w:val="both"/>
        <w:rPr>
          <w:color w:val="000000"/>
          <w:lang w:val="mn-Cyrl-MN"/>
        </w:rPr>
      </w:pPr>
      <w:r>
        <w:rPr>
          <w:color w:val="000000"/>
          <w:lang w:val="mn-Cyrl-MN"/>
        </w:rPr>
        <w:tab/>
        <w:tab/>
        <w:t>5.1.3.багшийн хөгжлийг дэмжих сургалт, үйл ажиллагааны модуль;</w:t>
      </w:r>
    </w:p>
    <w:p>
      <w:pPr>
        <w:pStyle w:val="Normal"/>
        <w:jc w:val="both"/>
        <w:rPr>
          <w:color w:val="000000"/>
          <w:lang w:val="mn-Cyrl-MN"/>
        </w:rPr>
      </w:pPr>
      <w:r>
        <w:rPr>
          <w:color w:val="000000"/>
          <w:lang w:val="mn-Cyrl-MN"/>
        </w:rPr>
        <w:tab/>
        <w:tab/>
        <w:t>5.1.4.багшийн хөгжлийн төв.</w:t>
      </w:r>
    </w:p>
    <w:p>
      <w:pPr>
        <w:pStyle w:val="Heading2"/>
        <w:spacing w:before="120" w:after="160"/>
        <w:ind w:left="0" w:right="0" w:firstLine="720"/>
        <w:jc w:val="both"/>
        <w:rPr>
          <w:color w:val="000000"/>
          <w:lang w:val="mn-Cyrl-MN"/>
        </w:rPr>
      </w:pPr>
      <w:r>
        <w:rPr>
          <w:color w:val="000000"/>
          <w:lang w:val="mn-Cyrl-MN"/>
        </w:rPr>
        <w:t>6 дугаар зүйл.Багшийн хөгжлийг дэмжих хөтөлбөр</w:t>
      </w:r>
    </w:p>
    <w:p>
      <w:pPr>
        <w:pStyle w:val="Normal"/>
        <w:jc w:val="both"/>
        <w:rPr>
          <w:color w:val="000000"/>
          <w:lang w:val="mn-Cyrl-MN"/>
        </w:rPr>
      </w:pPr>
      <w:r>
        <w:rPr>
          <w:color w:val="000000"/>
          <w:lang w:val="mn-Cyrl-MN"/>
        </w:rPr>
        <w:tab/>
        <w:t>6.1.Багшийн хөгжлийг дэмжих хөтөлбөр нь багшийн мэдлэг боловсрол, ур чадвар, хандлагыг суралцагчдад олгох шаардлагатай арга хэмжээ, үйл ажиллагааны цогц байх бөгөөд энэ хуулийн 11.1-д заасан үйл ажиллагааны хэлбэрүүдтэй байж болно.</w:t>
      </w:r>
    </w:p>
    <w:p>
      <w:pPr>
        <w:pStyle w:val="Heading2"/>
        <w:spacing w:before="120" w:after="160"/>
        <w:ind w:left="0" w:right="0" w:firstLine="720"/>
        <w:jc w:val="both"/>
        <w:rPr>
          <w:color w:val="000000"/>
          <w:lang w:val="mn-Cyrl-MN"/>
        </w:rPr>
      </w:pPr>
      <w:r>
        <w:rPr>
          <w:color w:val="000000"/>
          <w:lang w:val="mn-Cyrl-MN"/>
        </w:rPr>
        <w:t xml:space="preserve">7 дугаар зүйл.Багшийн хөгжлийг дэмжих төлөвлөгөө </w:t>
      </w:r>
    </w:p>
    <w:p>
      <w:pPr>
        <w:pStyle w:val="Normal"/>
        <w:jc w:val="both"/>
        <w:rPr>
          <w:color w:val="000000"/>
          <w:lang w:val="mn-Cyrl-MN"/>
        </w:rPr>
      </w:pPr>
      <w:r>
        <w:rPr>
          <w:color w:val="000000"/>
          <w:lang w:val="mn-Cyrl-MN"/>
        </w:rPr>
        <w:tab/>
        <w:t>7.1.Аймаг, нийслэлийн боловсролын газар нь тухайн нутаг дэвсгэрт үйл ажиллагаа явуулж байгаа ерөнхий боловсролын сургууль, цэцэрлэгийн багшийг хөгжүүлэх төлөвлөгөөг багшийн хөгжлийг дэмжих хөтөлбөртэй уялдуулан баталж, хэрэгжүүлнэ.</w:t>
      </w:r>
    </w:p>
    <w:p>
      <w:pPr>
        <w:pStyle w:val="Normal"/>
        <w:ind w:left="0" w:right="0" w:firstLine="720"/>
        <w:jc w:val="both"/>
        <w:rPr>
          <w:color w:val="000000"/>
          <w:lang w:val="mn-Cyrl-MN"/>
        </w:rPr>
      </w:pPr>
      <w:r>
        <w:rPr>
          <w:color w:val="000000"/>
          <w:lang w:val="mn-Cyrl-MN"/>
        </w:rPr>
        <w:t>7.2. Бүх шатны боловсролын өөрийн удирдлага нь Багшийг хөгжүүлэх төлөвлөгөөг багш бүрийн саналд үндэслэн тухайн нутаг дэвсгэрийн төлөвлөгөөтэй нийцүүлэн баталж, хэрэгжүүлнэ</w:t>
      </w:r>
    </w:p>
    <w:p>
      <w:pPr>
        <w:pStyle w:val="Normal"/>
        <w:ind w:left="0" w:right="0" w:firstLine="720"/>
        <w:jc w:val="both"/>
        <w:rPr>
          <w:color w:val="000000"/>
          <w:lang w:val="mn-Cyrl-MN"/>
        </w:rPr>
      </w:pPr>
      <w:r>
        <w:rPr>
          <w:color w:val="000000"/>
          <w:lang w:val="mn-Cyrl-MN"/>
        </w:rPr>
        <w:t>7.3.Төрийн өмчийн бүх шатны боловсролын байгууллагын багш нарын зөвлөл нь багшийн хөгжлийн төлөвлөгөөндөө үндэслэн шаардлагатай материал, сургалтын хэрэглэгдэхүүний жагсаалт, боловсролын ахисан түвшиний сургалтад хамруулах багшийн нэрс,  шаардлагатай сургалтуудын захиалгыг бэлтгэн багшийн мэргэжил дуушлүүлэх, сургалт арга зүйн байгууллагад хүргүүлнэ.</w:t>
      </w:r>
    </w:p>
    <w:p>
      <w:pPr>
        <w:pStyle w:val="Heading2"/>
        <w:spacing w:before="120" w:after="160"/>
        <w:jc w:val="both"/>
        <w:rPr>
          <w:color w:val="000000"/>
          <w:lang w:val="mn-Cyrl-MN"/>
        </w:rPr>
      </w:pPr>
      <w:r>
        <w:rPr>
          <w:color w:val="000000"/>
          <w:lang w:val="mn-Cyrl-MN"/>
        </w:rPr>
        <w:tab/>
        <w:t>8 дугаар зүйл.Багшийн хөгжлийг дэмжих сургалт, үйл ажиллагааны модуль</w:t>
      </w:r>
    </w:p>
    <w:p>
      <w:pPr>
        <w:pStyle w:val="Normal"/>
        <w:ind w:left="0" w:right="0" w:firstLine="720"/>
        <w:jc w:val="both"/>
        <w:rPr>
          <w:color w:val="000000"/>
          <w:lang w:val="mn-Cyrl-MN"/>
        </w:rPr>
      </w:pPr>
      <w:r>
        <w:rPr>
          <w:color w:val="000000"/>
          <w:lang w:val="mn-Cyrl-MN"/>
        </w:rPr>
        <w:t>8.1.Багшийг хөгжүүлэх сургалт, бусад үйл ажиллагааг багшийн мэргэжил дээшлүүлэх сургалт-арга зүйн байгууллага явуулна.</w:t>
      </w:r>
    </w:p>
    <w:p>
      <w:pPr>
        <w:pStyle w:val="Normal"/>
        <w:ind w:left="0" w:right="0" w:firstLine="720"/>
        <w:jc w:val="both"/>
        <w:rPr>
          <w:color w:val="000000"/>
          <w:lang w:val="mn-Cyrl-MN"/>
        </w:rPr>
      </w:pPr>
      <w:r>
        <w:rPr>
          <w:color w:val="000000"/>
          <w:lang w:val="mn-Cyrl-MN"/>
        </w:rPr>
        <w:t>8.2.Бүх шатны боловсролын байгууллага нь багшийн хөгжлийн төвөөрөө дамжуулан 8.1-д заасан байгууллагаас захиалгаар багшийг ажлын байран дээр хөгжүүлэхтэй холбоотой сургалт, бусад дэмжлэгийг авч болно.</w:t>
      </w:r>
    </w:p>
    <w:p>
      <w:pPr>
        <w:pStyle w:val="Normal"/>
        <w:ind w:left="0" w:right="0" w:firstLine="720"/>
        <w:jc w:val="both"/>
        <w:rPr>
          <w:color w:val="000000"/>
          <w:lang w:val="mn-Cyrl-MN"/>
        </w:rPr>
      </w:pPr>
      <w:r>
        <w:rPr>
          <w:color w:val="000000"/>
          <w:lang w:val="mn-Cyrl-MN"/>
        </w:rPr>
        <w:t>8.3.Багшийг ажлын байран дээр хөгжүүлэхтэй холбогдсон зардлыг тухайн боловсролын байгууллагын төсвөөс санхүүжүүлнэ.</w:t>
      </w:r>
    </w:p>
    <w:p>
      <w:pPr>
        <w:pStyle w:val="Heading2"/>
        <w:spacing w:before="120" w:after="160"/>
        <w:ind w:left="0" w:right="0" w:firstLine="720"/>
        <w:jc w:val="both"/>
        <w:rPr>
          <w:color w:val="000000"/>
          <w:lang w:val="mn-Cyrl-MN"/>
        </w:rPr>
      </w:pPr>
      <w:r>
        <w:rPr>
          <w:color w:val="000000"/>
          <w:lang w:val="mn-Cyrl-MN"/>
        </w:rPr>
        <w:t xml:space="preserve">9 дүгээр зүйл.Багшийн хөгжлийн төв </w:t>
      </w:r>
    </w:p>
    <w:p>
      <w:pPr>
        <w:pStyle w:val="Normal"/>
        <w:jc w:val="both"/>
        <w:rPr>
          <w:color w:val="000000"/>
          <w:lang w:val="mn-Cyrl-MN"/>
        </w:rPr>
      </w:pPr>
      <w:r>
        <w:rPr>
          <w:color w:val="000000"/>
          <w:lang w:val="mn-Cyrl-MN"/>
        </w:rPr>
        <w:tab/>
        <w:t>9.1.Бүх шатны боловсролын байгууллага нь багшийн хөгжлийн төвтэй байна.</w:t>
      </w:r>
    </w:p>
    <w:p>
      <w:pPr>
        <w:pStyle w:val="Normal"/>
        <w:jc w:val="both"/>
        <w:rPr>
          <w:color w:val="000000"/>
          <w:lang w:val="mn-Cyrl-MN"/>
        </w:rPr>
      </w:pPr>
      <w:r>
        <w:rPr>
          <w:color w:val="000000"/>
          <w:lang w:val="mn-Cyrl-MN"/>
        </w:rPr>
        <w:tab/>
        <w:t>9.2.Багшийн хөгжлийн төв нь багш ажлын байран дээр  мэдлэг боловсролоо дээшлүүлэх, ур чадвараа хөгжүүлэх, мэргэших, давтан сурах, багш өөрийн мэдлэг боловсролоо тогтмол дээшлүүлэх, хөгжих таатай орчин байна.</w:t>
      </w:r>
    </w:p>
    <w:p>
      <w:pPr>
        <w:pStyle w:val="Normal"/>
        <w:ind w:left="0" w:right="0" w:firstLine="720"/>
        <w:jc w:val="both"/>
        <w:rPr>
          <w:color w:val="000000"/>
          <w:lang w:val="mn-Cyrl-MN"/>
        </w:rPr>
      </w:pPr>
      <w:r>
        <w:rPr>
          <w:color w:val="000000"/>
          <w:lang w:val="mn-Cyrl-MN"/>
        </w:rPr>
        <w:t>9.3.Бүх шатны боловсролын байгууллагын удирдлага нь багшийн хөгжлийн төвөөр дамжуулан багшид мэргэжил арга зүйн зөвлөгөө өгөх, хөгжүүлэх үйл ажиллагааг явуулж болно.</w:t>
      </w:r>
    </w:p>
    <w:p>
      <w:pPr>
        <w:pStyle w:val="Normal"/>
        <w:ind w:left="0" w:right="0" w:firstLine="720"/>
        <w:jc w:val="both"/>
        <w:rPr>
          <w:color w:val="000000"/>
          <w:lang w:val="mn-Cyrl-MN"/>
        </w:rPr>
      </w:pPr>
      <w:r>
        <w:rPr>
          <w:color w:val="000000"/>
          <w:lang w:val="mn-Cyrl-MN"/>
        </w:rPr>
        <w:t>9.4.Багшийн мэргэжил дээшлүүлэх сургалт-арга зүйн байгууллага нь бүх шатны боловсролын байгууллагын багшийн хөгжлийн төвд мэргэжил, арга зүйн зөвлөгөө өгнө.</w:t>
      </w:r>
    </w:p>
    <w:p>
      <w:pPr>
        <w:pStyle w:val="Normal"/>
        <w:jc w:val="both"/>
        <w:rPr>
          <w:color w:val="000000"/>
          <w:lang w:val="mn-Cyrl-MN"/>
        </w:rPr>
      </w:pPr>
      <w:r>
        <w:rPr>
          <w:color w:val="000000"/>
          <w:lang w:val="mn-Cyrl-MN"/>
        </w:rPr>
        <w:tab/>
        <w:t xml:space="preserve">9.5.Багшийн хөгжлийн төвийн хэвийн үйл ажиллагаанд шаардагдах хөрөнгийг тухайн боловсролын байгууллагын төсөвт жил бүр тусгана. </w:t>
      </w:r>
    </w:p>
    <w:p>
      <w:pPr>
        <w:pStyle w:val="Heading2"/>
        <w:spacing w:before="120" w:after="160"/>
        <w:ind w:left="0" w:right="0" w:firstLine="720"/>
        <w:jc w:val="both"/>
        <w:rPr>
          <w:color w:val="000000"/>
          <w:lang w:val="mn-Cyrl-MN"/>
        </w:rPr>
      </w:pPr>
      <w:r>
        <w:rPr>
          <w:color w:val="000000"/>
          <w:lang w:val="mn-Cyrl-MN"/>
        </w:rPr>
        <w:t>10 дугаар зүйл.Багшийг бэлтгэх</w:t>
      </w:r>
    </w:p>
    <w:p>
      <w:pPr>
        <w:pStyle w:val="Normal"/>
        <w:jc w:val="both"/>
        <w:rPr>
          <w:color w:val="000000"/>
          <w:lang w:val="mn-Cyrl-MN"/>
        </w:rPr>
      </w:pPr>
      <w:r>
        <w:rPr>
          <w:color w:val="000000"/>
          <w:lang w:val="mn-Cyrl-MN"/>
        </w:rPr>
        <w:tab/>
        <w:t>10.1.Орон нутгийн төрийн захиргааны байгууллага нь тухайн нутаг дэвсгэрийн багшийн эрэлт хэрэгцээ, багшийг хөгжүүлэх төлөвлөгөөнд тулгуурлан захиалгаар багш бэлтгүүлэх гэрээг сургууль болон суралцагчтай байгуулж тэтгэлэг олгож болно.</w:t>
      </w:r>
    </w:p>
    <w:p>
      <w:pPr>
        <w:pStyle w:val="Normal"/>
        <w:jc w:val="both"/>
        <w:rPr>
          <w:color w:val="000000"/>
          <w:lang w:val="mn-Cyrl-MN"/>
        </w:rPr>
      </w:pPr>
      <w:r>
        <w:rPr>
          <w:color w:val="000000"/>
          <w:lang w:val="mn-Cyrl-MN"/>
        </w:rPr>
        <w:tab/>
        <w:t>10.2.Засгийн газар хоорондын гэрээтэй орнуудад тэтгэлгээр сургах хөтөлбөрүүдийн тэргүүлэх чиглэлд багшийн мэргэжлийг хамруулах зарчим баримтална.</w:t>
      </w:r>
    </w:p>
    <w:p>
      <w:pPr>
        <w:pStyle w:val="Normal"/>
        <w:jc w:val="both"/>
        <w:rPr>
          <w:color w:val="000000"/>
          <w:lang w:val="mn-Cyrl-MN"/>
        </w:rPr>
      </w:pPr>
      <w:r>
        <w:rPr>
          <w:color w:val="000000"/>
          <w:lang w:val="mn-Cyrl-MN"/>
        </w:rPr>
        <w:tab/>
        <w:t>10.3.Багш мэргэжлээр дээд боловсрол олгох их, дээд сургуулийн сургалтын хөтөлбөрт 6 сарын хугацаатай дадлагажигч багшаар ажиллах агуулгыг багтаана.</w:t>
      </w:r>
    </w:p>
    <w:p>
      <w:pPr>
        <w:pStyle w:val="Normal"/>
        <w:ind w:left="0" w:right="0" w:firstLine="720"/>
        <w:jc w:val="both"/>
        <w:rPr>
          <w:color w:val="000000"/>
          <w:lang w:val="mn-Cyrl-MN"/>
        </w:rPr>
      </w:pPr>
      <w:r>
        <w:rPr>
          <w:color w:val="000000"/>
          <w:lang w:val="mn-Cyrl-MN"/>
        </w:rPr>
        <w:t>10.4.Ерөнхий боловсролын сургуулийн 44-өөс дээш хүүхэдтэй нэг, хоёрдугаар анги нь туслах багштай байж болно.</w:t>
      </w:r>
    </w:p>
    <w:p>
      <w:pPr>
        <w:pStyle w:val="Normal"/>
        <w:ind w:left="0" w:right="0" w:firstLine="720"/>
        <w:jc w:val="both"/>
        <w:rPr>
          <w:color w:val="000000"/>
          <w:lang w:val="mn-Cyrl-MN"/>
        </w:rPr>
      </w:pPr>
      <w:r>
        <w:rPr>
          <w:color w:val="000000"/>
          <w:lang w:val="mn-Cyrl-MN"/>
        </w:rPr>
        <w:t xml:space="preserve">10.5.Багш мэргэжлээр дээд боловсрол эзэмшсэн төгсөгч нь багшлах эрхтэй байна. </w:t>
      </w:r>
    </w:p>
    <w:p>
      <w:pPr>
        <w:pStyle w:val="Heading1"/>
        <w:spacing w:before="0" w:after="0"/>
        <w:jc w:val="center"/>
        <w:rPr>
          <w:color w:val="000000"/>
          <w:lang w:val="mn-Cyrl-MN"/>
        </w:rPr>
      </w:pPr>
      <w:r>
        <w:rPr>
          <w:color w:val="000000"/>
          <w:lang w:val="mn-Cyrl-MN"/>
        </w:rPr>
        <w:t>ГУРАВДУГААР БҮЛЭГ</w:t>
      </w:r>
    </w:p>
    <w:p>
      <w:pPr>
        <w:pStyle w:val="Heading1"/>
        <w:spacing w:before="0" w:after="160"/>
        <w:jc w:val="center"/>
        <w:rPr>
          <w:color w:val="000000"/>
          <w:szCs w:val="24"/>
          <w:lang w:val="mn-Cyrl-MN"/>
        </w:rPr>
      </w:pPr>
      <w:r>
        <w:rPr>
          <w:color w:val="000000"/>
          <w:szCs w:val="24"/>
          <w:lang w:val="mn-Cyrl-MN"/>
        </w:rPr>
        <w:t>БАГШИЙН ХӨГЖЛИЙГ ДЭМЖИХ</w:t>
      </w:r>
    </w:p>
    <w:p>
      <w:pPr>
        <w:pStyle w:val="Heading2"/>
        <w:spacing w:before="120" w:after="160"/>
        <w:jc w:val="both"/>
        <w:rPr>
          <w:color w:val="000000"/>
          <w:lang w:val="mn-Cyrl-MN"/>
        </w:rPr>
      </w:pPr>
      <w:r>
        <w:rPr>
          <w:color w:val="000000"/>
          <w:lang w:val="mn-Cyrl-MN"/>
        </w:rPr>
        <w:tab/>
        <w:t>11 дүгээр зүйл.Төрөөс багшийн хөгжилд үзүүлэх дэмжлэг</w:t>
      </w:r>
    </w:p>
    <w:p>
      <w:pPr>
        <w:pStyle w:val="Normal"/>
        <w:jc w:val="both"/>
        <w:rPr>
          <w:color w:val="000000"/>
          <w:lang w:val="mn-Cyrl-MN"/>
        </w:rPr>
      </w:pPr>
      <w:r>
        <w:rPr>
          <w:color w:val="000000"/>
          <w:lang w:val="mn-Cyrl-MN"/>
        </w:rPr>
        <w:tab/>
        <w:t>11.1. Багшийн хөгжлийг дэмжих үйл ажиллагааны хэлбэрүүд:</w:t>
      </w:r>
    </w:p>
    <w:p>
      <w:pPr>
        <w:pStyle w:val="Normal"/>
        <w:jc w:val="both"/>
        <w:rPr>
          <w:color w:val="000000"/>
          <w:lang w:val="mn-Cyrl-MN"/>
        </w:rPr>
      </w:pPr>
      <w:r>
        <w:rPr>
          <w:color w:val="000000"/>
          <w:lang w:val="mn-Cyrl-MN"/>
        </w:rPr>
        <w:tab/>
        <w:tab/>
        <w:t>11.1.1.боловсролын ахисан түвшний сургалтад хамруулах;</w:t>
      </w:r>
    </w:p>
    <w:p>
      <w:pPr>
        <w:pStyle w:val="Normal"/>
        <w:jc w:val="both"/>
        <w:rPr>
          <w:color w:val="000000"/>
          <w:lang w:val="mn-Cyrl-MN"/>
        </w:rPr>
      </w:pPr>
      <w:r>
        <w:rPr>
          <w:color w:val="000000"/>
          <w:lang w:val="mn-Cyrl-MN"/>
        </w:rPr>
        <w:tab/>
        <w:tab/>
        <w:t>11.1.2.багшийг судалгаа, эрдэм шинжилгээний төсөлд ажиллуулах;</w:t>
      </w:r>
    </w:p>
    <w:p>
      <w:pPr>
        <w:pStyle w:val="Normal"/>
        <w:jc w:val="both"/>
        <w:rPr>
          <w:color w:val="000000"/>
          <w:lang w:val="mn-Cyrl-MN"/>
        </w:rPr>
      </w:pPr>
      <w:r>
        <w:rPr>
          <w:color w:val="000000"/>
          <w:lang w:val="mn-Cyrl-MN"/>
        </w:rPr>
        <w:tab/>
        <w:tab/>
        <w:t>11.1.3.гадаад, дотоодын ижил төрлийн сургуульд туршлага судлуулах;</w:t>
      </w:r>
    </w:p>
    <w:p>
      <w:pPr>
        <w:pStyle w:val="Normal"/>
        <w:jc w:val="both"/>
        <w:rPr>
          <w:color w:val="000000"/>
          <w:lang w:val="mn-Cyrl-MN"/>
        </w:rPr>
      </w:pPr>
      <w:r>
        <w:rPr>
          <w:color w:val="000000"/>
          <w:lang w:val="mn-Cyrl-MN"/>
        </w:rPr>
        <w:tab/>
        <w:tab/>
        <w:t>11.1.4.багшийн мэдлэг боловсрол, ур чадварыг нэмэгдүүлэхэд шаардлагатай материал, хэрэгслээр хангах;</w:t>
      </w:r>
    </w:p>
    <w:p>
      <w:pPr>
        <w:pStyle w:val="Normal"/>
        <w:ind w:left="720" w:right="0" w:firstLine="720"/>
        <w:jc w:val="both"/>
        <w:rPr>
          <w:color w:val="000000"/>
          <w:lang w:val="mn-Cyrl-MN"/>
        </w:rPr>
      </w:pPr>
      <w:r>
        <w:rPr>
          <w:color w:val="000000"/>
          <w:lang w:val="mn-Cyrl-MN"/>
        </w:rPr>
        <w:t>11.1.5.багшийн хөгжлийг дэмжих богино хугацааны сургалтад хамруулах.</w:t>
      </w:r>
    </w:p>
    <w:p>
      <w:pPr>
        <w:pStyle w:val="Normal"/>
        <w:ind w:left="0" w:right="0" w:firstLine="720"/>
        <w:jc w:val="both"/>
        <w:rPr>
          <w:color w:val="000000"/>
          <w:lang w:val="mn-Cyrl-MN"/>
        </w:rPr>
      </w:pPr>
      <w:r>
        <w:rPr>
          <w:color w:val="000000"/>
          <w:lang w:val="mn-Cyrl-MN"/>
        </w:rPr>
        <w:t>11.2.Төрөөс багшийн мэргэжил, ур чадварыг дээшлүүлэх, боловсролын бодлого, чиглэлийг таниулах, задлан шинжилж, нэгтгэн дүгнэх, бүтээлчээр сэтгэх, шүүмжлэлт эргэцүүлэх чадварыг нэмэгдүүлэх сургалтыг дараахь байдлаар зохион байгуулна:</w:t>
      </w:r>
    </w:p>
    <w:p>
      <w:pPr>
        <w:pStyle w:val="Normal"/>
        <w:jc w:val="both"/>
        <w:rPr>
          <w:color w:val="000000"/>
          <w:lang w:val="mn-Cyrl-MN"/>
        </w:rPr>
      </w:pPr>
      <w:r>
        <w:rPr>
          <w:color w:val="000000"/>
          <w:lang w:val="mn-Cyrl-MN"/>
        </w:rPr>
        <w:tab/>
        <w:tab/>
        <w:t>11.2.1. үндсэн сургалт;</w:t>
      </w:r>
    </w:p>
    <w:p>
      <w:pPr>
        <w:pStyle w:val="Normal"/>
        <w:jc w:val="both"/>
        <w:rPr>
          <w:color w:val="000000"/>
          <w:lang w:val="mn-Cyrl-MN"/>
        </w:rPr>
      </w:pPr>
      <w:r>
        <w:rPr>
          <w:color w:val="000000"/>
          <w:lang w:val="mn-Cyrl-MN"/>
        </w:rPr>
        <w:tab/>
        <w:tab/>
        <w:t>11.2.2. төрөлжсөн сургалт;</w:t>
      </w:r>
    </w:p>
    <w:p>
      <w:pPr>
        <w:pStyle w:val="Normal"/>
        <w:jc w:val="both"/>
        <w:rPr>
          <w:color w:val="000000"/>
          <w:lang w:val="mn-Cyrl-MN"/>
        </w:rPr>
      </w:pPr>
      <w:r>
        <w:rPr>
          <w:color w:val="000000"/>
          <w:lang w:val="mn-Cyrl-MN"/>
        </w:rPr>
        <w:tab/>
        <w:tab/>
        <w:t>11.2.3. ажлын байран дээрх сургалт;</w:t>
      </w:r>
    </w:p>
    <w:p>
      <w:pPr>
        <w:pStyle w:val="Normal"/>
        <w:jc w:val="both"/>
        <w:rPr>
          <w:color w:val="000000"/>
          <w:lang w:val="mn-Cyrl-MN"/>
        </w:rPr>
      </w:pPr>
      <w:r>
        <w:rPr>
          <w:color w:val="000000"/>
          <w:lang w:val="mn-Cyrl-MN"/>
        </w:rPr>
        <w:tab/>
        <w:tab/>
        <w:t>11.2.4. цахим сургалт;</w:t>
      </w:r>
    </w:p>
    <w:p>
      <w:pPr>
        <w:pStyle w:val="Normal"/>
        <w:jc w:val="both"/>
        <w:rPr>
          <w:color w:val="000000"/>
          <w:lang w:val="mn-Cyrl-MN"/>
        </w:rPr>
      </w:pPr>
      <w:r>
        <w:rPr>
          <w:color w:val="000000"/>
          <w:lang w:val="mn-Cyrl-MN"/>
        </w:rPr>
        <w:tab/>
        <w:tab/>
        <w:t>11.2.5. бусад.</w:t>
        <w:tab/>
      </w:r>
    </w:p>
    <w:p>
      <w:pPr>
        <w:pStyle w:val="Heading2"/>
        <w:spacing w:before="120" w:after="160"/>
        <w:jc w:val="both"/>
        <w:rPr>
          <w:color w:val="000000"/>
          <w:lang w:val="mn-Cyrl-MN"/>
        </w:rPr>
      </w:pPr>
      <w:r>
        <w:rPr>
          <w:color w:val="000000"/>
          <w:lang w:val="mn-Cyrl-MN"/>
        </w:rPr>
        <w:tab/>
        <w:t>12 дугаар зүйл.Багшийн хувь хүний хөгжлийг дэмжих</w:t>
      </w:r>
    </w:p>
    <w:p>
      <w:pPr>
        <w:pStyle w:val="Normal"/>
        <w:jc w:val="both"/>
        <w:rPr>
          <w:color w:val="000000"/>
          <w:lang w:val="mn-Cyrl-MN"/>
        </w:rPr>
      </w:pPr>
      <w:r>
        <w:rPr>
          <w:color w:val="000000"/>
          <w:lang w:val="mn-Cyrl-MN"/>
        </w:rPr>
        <w:tab/>
        <w:t>12.1.Бүх шатны боловсролын байгууллага нь ахмад үе, дунд үе, залуу үе хооронд туршлага солилцох, зөвлөн туслах, арга зүйн зөвлөгөө өгөх арга хэмжээг зохион байгуулж байна.</w:t>
      </w:r>
    </w:p>
    <w:p>
      <w:pPr>
        <w:pStyle w:val="Normal"/>
        <w:jc w:val="both"/>
        <w:rPr>
          <w:color w:val="000000"/>
          <w:lang w:val="mn-Cyrl-MN"/>
        </w:rPr>
      </w:pPr>
      <w:r>
        <w:rPr>
          <w:color w:val="000000"/>
          <w:lang w:val="mn-Cyrl-MN"/>
        </w:rPr>
        <w:tab/>
        <w:t>12.2.Бүх шатны боловсролын байгууллагын удирдлага нь багшийн сэтгэл зүй, эрүүл мэндийг дэмжих үйл ажиллагааг зохион байгуулж болно.</w:t>
      </w:r>
    </w:p>
    <w:p>
      <w:pPr>
        <w:pStyle w:val="Normal"/>
        <w:jc w:val="both"/>
        <w:rPr>
          <w:color w:val="000000"/>
          <w:lang w:val="mn-Cyrl-MN"/>
        </w:rPr>
      </w:pPr>
      <w:r>
        <w:rPr>
          <w:color w:val="000000"/>
          <w:lang w:val="mn-Cyrl-MN"/>
        </w:rPr>
        <w:tab/>
        <w:t>12.3.Ижил төрлийн боловсролын байгууллагууд нь харилцан туршлага солилцох зорилгоор 3 сар хүртэлх хугацаагаар багш солилцоо хэрэгжүүлж болно.</w:t>
      </w:r>
    </w:p>
    <w:p>
      <w:pPr>
        <w:pStyle w:val="Heading2"/>
        <w:spacing w:before="120" w:after="160"/>
        <w:jc w:val="both"/>
        <w:rPr>
          <w:color w:val="000000"/>
          <w:lang w:val="mn-Cyrl-MN"/>
        </w:rPr>
      </w:pPr>
      <w:r>
        <w:rPr>
          <w:color w:val="000000"/>
          <w:lang w:val="mn-Cyrl-MN"/>
        </w:rPr>
        <w:tab/>
        <w:t>13 дугаар зүйл.Багшийн оролцоо</w:t>
      </w:r>
    </w:p>
    <w:p>
      <w:pPr>
        <w:pStyle w:val="Normal"/>
        <w:jc w:val="both"/>
        <w:rPr>
          <w:color w:val="000000"/>
          <w:lang w:val="mn-Cyrl-MN"/>
        </w:rPr>
      </w:pPr>
      <w:r>
        <w:rPr>
          <w:color w:val="000000"/>
          <w:lang w:val="mn-Cyrl-MN"/>
        </w:rPr>
        <w:tab/>
        <w:t>13.1.Бүх шатны боловсролын байгууллага нь багшийг мэдлэг боловсрол, ур чадвараа сайжруулах, өөрийгөө хөгжүүлэх талаар санал, хүсэлт гаргах боломжийг бүрдүүлнэ.</w:t>
      </w:r>
    </w:p>
    <w:p>
      <w:pPr>
        <w:pStyle w:val="Normal"/>
        <w:jc w:val="both"/>
        <w:rPr>
          <w:color w:val="000000"/>
          <w:lang w:val="mn-Cyrl-MN"/>
        </w:rPr>
      </w:pPr>
      <w:r>
        <w:rPr>
          <w:color w:val="000000"/>
          <w:lang w:val="mn-Cyrl-MN"/>
        </w:rPr>
        <w:tab/>
        <w:t>13.2.Багш нь боловсролоо дээшлүүлэх ур чадвараа сайжруулах талаар санал, хүсэлтээ сургуулийн захиргаа болон дээд шатны байгууллагад уламжилж болно.</w:t>
      </w:r>
    </w:p>
    <w:p>
      <w:pPr>
        <w:pStyle w:val="Normal"/>
        <w:jc w:val="both"/>
        <w:rPr>
          <w:color w:val="000000"/>
          <w:lang w:val="mn-Cyrl-MN"/>
        </w:rPr>
      </w:pPr>
      <w:r>
        <w:rPr>
          <w:color w:val="000000"/>
          <w:lang w:val="mn-Cyrl-MN"/>
        </w:rPr>
        <w:tab/>
        <w:t>13.3.Багш нь аймаг, нийслэлийн боловсролын газарт багшийн хөгжилтэй холбоотой гомдлыг шууд гаргаж болно.</w:t>
      </w:r>
    </w:p>
    <w:p>
      <w:pPr>
        <w:pStyle w:val="Normal"/>
        <w:jc w:val="both"/>
        <w:rPr>
          <w:color w:val="000000"/>
          <w:lang w:val="mn-Cyrl-MN"/>
        </w:rPr>
      </w:pPr>
      <w:r>
        <w:rPr>
          <w:color w:val="000000"/>
          <w:lang w:val="mn-Cyrl-MN"/>
        </w:rPr>
        <w:tab/>
        <w:t>13.4.Бүх шатны боловсролын байгууллагын багш нарын зөвлөл нь тухайн жилд багшийн хөгжилтэй холбоотойгоор зохион байгуулах, үйл ажиллагааны төлөвлөгөөг гаргаж, батална.</w:t>
      </w:r>
    </w:p>
    <w:p>
      <w:pPr>
        <w:pStyle w:val="Heading1"/>
        <w:spacing w:before="320" w:after="0"/>
        <w:jc w:val="center"/>
        <w:rPr>
          <w:color w:val="000000"/>
          <w:szCs w:val="24"/>
          <w:lang w:val="mn-Cyrl-MN"/>
        </w:rPr>
      </w:pPr>
      <w:r>
        <w:rPr>
          <w:color w:val="000000"/>
          <w:szCs w:val="24"/>
          <w:lang w:val="mn-Cyrl-MN"/>
        </w:rPr>
        <w:t>ДӨРӨВДҮГЭЭР БҮЛЭГ</w:t>
      </w:r>
    </w:p>
    <w:p>
      <w:pPr>
        <w:pStyle w:val="Heading1"/>
        <w:spacing w:before="0" w:after="160"/>
        <w:jc w:val="center"/>
        <w:rPr>
          <w:color w:val="000000"/>
          <w:szCs w:val="24"/>
          <w:lang w:val="mn-Cyrl-MN"/>
        </w:rPr>
      </w:pPr>
      <w:r>
        <w:rPr>
          <w:color w:val="000000"/>
          <w:szCs w:val="24"/>
          <w:lang w:val="mn-Cyrl-MN"/>
        </w:rPr>
        <w:t>ЁС ЗҮЙ, ХАРИУЦЛАГА, НЭР ХҮНД</w:t>
      </w:r>
    </w:p>
    <w:p>
      <w:pPr>
        <w:pStyle w:val="Heading2"/>
        <w:spacing w:before="120" w:after="160"/>
        <w:jc w:val="both"/>
        <w:rPr>
          <w:color w:val="000000"/>
          <w:lang w:val="mn-Cyrl-MN"/>
        </w:rPr>
      </w:pPr>
      <w:r>
        <w:rPr>
          <w:color w:val="000000"/>
          <w:lang w:val="mn-Cyrl-MN"/>
        </w:rPr>
        <w:tab/>
        <w:t>14 д</w:t>
      </w:r>
      <w:r>
        <w:rPr>
          <w:color w:val="000000"/>
          <w:lang w:val="mn-Cyrl-MN"/>
        </w:rPr>
        <w:t>үгээр</w:t>
      </w:r>
      <w:r>
        <w:rPr>
          <w:color w:val="000000"/>
          <w:lang w:val="mn-Cyrl-MN"/>
        </w:rPr>
        <w:t xml:space="preserve"> зүйл.Ёс зүйн хороо</w:t>
      </w:r>
    </w:p>
    <w:p>
      <w:pPr>
        <w:pStyle w:val="Normal"/>
        <w:jc w:val="both"/>
        <w:rPr>
          <w:color w:val="000000"/>
          <w:lang w:val="mn-Cyrl-MN"/>
        </w:rPr>
      </w:pPr>
      <w:r>
        <w:rPr>
          <w:color w:val="000000"/>
          <w:lang w:val="mn-Cyrl-MN"/>
        </w:rPr>
        <w:tab/>
        <w:t>14.1.Боловсролын асуудал эрхэлсэн төрийн захиргааны төв байгууллага нь дэргэдээ их, дээд сургуулийн багшийн ёс зүйн хороотой байна.</w:t>
      </w:r>
    </w:p>
    <w:p>
      <w:pPr>
        <w:pStyle w:val="Normal"/>
        <w:ind w:left="0" w:right="0" w:firstLine="720"/>
        <w:jc w:val="both"/>
        <w:rPr>
          <w:color w:val="000000"/>
          <w:lang w:val="mn-Cyrl-MN"/>
        </w:rPr>
      </w:pPr>
      <w:r>
        <w:rPr>
          <w:color w:val="000000"/>
          <w:lang w:val="mn-Cyrl-MN"/>
        </w:rPr>
        <w:t>14.2.Хөдөлмөрийн асуудал эрхэлсэн төрийн захиргааны төв байгууллага нь дэргэдээ мэргэжлийн боловсрол, сургалтын төвийн багшийн ёс зүйн хороотой байна.</w:t>
      </w:r>
    </w:p>
    <w:p>
      <w:pPr>
        <w:pStyle w:val="Normal"/>
        <w:jc w:val="both"/>
        <w:rPr>
          <w:color w:val="000000"/>
          <w:lang w:val="mn-Cyrl-MN"/>
        </w:rPr>
      </w:pPr>
      <w:r>
        <w:rPr>
          <w:color w:val="000000"/>
          <w:lang w:val="mn-Cyrl-MN"/>
        </w:rPr>
        <w:tab/>
        <w:t>14.2.Аймаг, нийслэлийн боловсролын асуудал эрхэлсэн төрийн захиргааны байгууллага нь дэргэдээ ерөнхий боловсролын сургууль, цэцэрлэгийн багшийн ёс зүйн хороотой байна.</w:t>
      </w:r>
    </w:p>
    <w:p>
      <w:pPr>
        <w:pStyle w:val="Normal"/>
        <w:jc w:val="both"/>
        <w:rPr>
          <w:color w:val="000000"/>
          <w:lang w:val="mn-Cyrl-MN"/>
        </w:rPr>
      </w:pPr>
      <w:r>
        <w:rPr>
          <w:color w:val="000000"/>
          <w:lang w:val="mn-Cyrl-MN"/>
        </w:rPr>
        <w:tab/>
        <w:t>14.3.Бүх шатны боловсролын байгууллага нь тухайн байгууллагын багш нарын төлөөлөл бүхий ёс зүйн зөвлөлтэй байна.</w:t>
      </w:r>
    </w:p>
    <w:p>
      <w:pPr>
        <w:pStyle w:val="Heading2"/>
        <w:spacing w:before="120" w:after="160"/>
        <w:jc w:val="both"/>
        <w:rPr>
          <w:color w:val="000000"/>
          <w:lang w:val="mn-Cyrl-MN"/>
        </w:rPr>
      </w:pPr>
      <w:r>
        <w:rPr>
          <w:color w:val="000000"/>
          <w:lang w:val="mn-Cyrl-MN"/>
        </w:rPr>
        <w:tab/>
        <w:t>15 дугаар зүйл.Ёс зүйн дүрэм</w:t>
      </w:r>
    </w:p>
    <w:p>
      <w:pPr>
        <w:pStyle w:val="Normal"/>
        <w:jc w:val="both"/>
        <w:rPr>
          <w:color w:val="000000"/>
          <w:lang w:val="mn-Cyrl-MN"/>
        </w:rPr>
      </w:pPr>
      <w:r>
        <w:rPr>
          <w:color w:val="000000"/>
          <w:lang w:val="mn-Cyrl-MN"/>
        </w:rPr>
        <w:tab/>
        <w:t xml:space="preserve">15.1.Багшийн ёс зүйн хорооны дүрмийг Боловсролын асуудал эрхэлсэн төрийн захиргааны төв байгууллага тогтооно. </w:t>
      </w:r>
    </w:p>
    <w:p>
      <w:pPr>
        <w:pStyle w:val="Normal"/>
        <w:ind w:left="0" w:right="0" w:firstLine="720"/>
        <w:jc w:val="both"/>
        <w:rPr>
          <w:color w:val="000000"/>
          <w:lang w:val="mn-Cyrl-MN"/>
        </w:rPr>
      </w:pPr>
      <w:r>
        <w:rPr>
          <w:color w:val="000000"/>
          <w:lang w:val="mn-Cyrl-MN"/>
        </w:rPr>
        <w:t>15.2.Бүх шатны боловсролын байгууллагын ёс зүйн дүрэмд доорх асуудлуудыг заавал тусгасан байна.</w:t>
      </w:r>
    </w:p>
    <w:p>
      <w:pPr>
        <w:pStyle w:val="Normal"/>
        <w:jc w:val="both"/>
        <w:rPr>
          <w:color w:val="000000"/>
          <w:lang w:val="mn-Cyrl-MN"/>
        </w:rPr>
      </w:pPr>
      <w:r>
        <w:rPr>
          <w:color w:val="000000"/>
          <w:lang w:val="mn-Cyrl-MN"/>
        </w:rPr>
        <w:tab/>
        <w:tab/>
        <w:t>15.2.1. багшийн эрхэмлэх зүйлс;</w:t>
      </w:r>
    </w:p>
    <w:p>
      <w:pPr>
        <w:pStyle w:val="Normal"/>
        <w:jc w:val="both"/>
        <w:rPr>
          <w:color w:val="000000"/>
          <w:lang w:val="mn-Cyrl-MN"/>
        </w:rPr>
      </w:pPr>
      <w:r>
        <w:rPr>
          <w:color w:val="000000"/>
          <w:lang w:val="mn-Cyrl-MN"/>
        </w:rPr>
        <w:tab/>
        <w:tab/>
        <w:t>15.2.2. багшийн ёс зүйн хэм хэмжээ;</w:t>
      </w:r>
    </w:p>
    <w:p>
      <w:pPr>
        <w:pStyle w:val="Normal"/>
        <w:jc w:val="both"/>
        <w:rPr>
          <w:color w:val="000000"/>
          <w:lang w:val="mn-Cyrl-MN"/>
        </w:rPr>
      </w:pPr>
      <w:r>
        <w:rPr>
          <w:color w:val="000000"/>
          <w:lang w:val="mn-Cyrl-MN"/>
        </w:rPr>
        <w:tab/>
        <w:tab/>
        <w:t>15.2.3. ёс зүйн хариуцлага.</w:t>
      </w:r>
    </w:p>
    <w:p>
      <w:pPr>
        <w:pStyle w:val="Heading2"/>
        <w:spacing w:before="120" w:after="160"/>
        <w:jc w:val="both"/>
        <w:rPr>
          <w:color w:val="000000"/>
          <w:lang w:val="mn-Cyrl-MN"/>
        </w:rPr>
      </w:pPr>
      <w:r>
        <w:rPr>
          <w:color w:val="000000"/>
          <w:lang w:val="mn-Cyrl-MN"/>
        </w:rPr>
        <w:tab/>
        <w:t xml:space="preserve">16 дугаар зүйл.Багшийн ёс зүйн хариуцлага </w:t>
      </w:r>
    </w:p>
    <w:p>
      <w:pPr>
        <w:pStyle w:val="Normal"/>
        <w:jc w:val="both"/>
        <w:rPr>
          <w:color w:val="000000"/>
          <w:lang w:val="mn-Cyrl-MN"/>
        </w:rPr>
      </w:pPr>
      <w:r>
        <w:rPr>
          <w:color w:val="000000"/>
          <w:lang w:val="mn-Cyrl-MN"/>
        </w:rPr>
        <w:tab/>
        <w:t>16.1.Суралцагч, түүний эцэг, эх, асран хамгаалагчийн зүгээс гаргасан гомдлыг тухайн байгууллагын ёс зүйн зөвлөл хүлээн авч шийдвэрлэнэ.</w:t>
      </w:r>
    </w:p>
    <w:p>
      <w:pPr>
        <w:pStyle w:val="Normal"/>
        <w:jc w:val="both"/>
        <w:rPr>
          <w:color w:val="000000"/>
          <w:lang w:val="mn-Cyrl-MN"/>
        </w:rPr>
      </w:pPr>
      <w:r>
        <w:rPr>
          <w:color w:val="000000"/>
          <w:lang w:val="mn-Cyrl-MN"/>
        </w:rPr>
        <w:tab/>
        <w:t>16.2.Тухайн байгууллагын ёс зүйн зөвлөл нь ёс зүйн зөрчил гаргасан багшийн цалинг тодорхой хугацаагаар бууруулах, багшийн ажлын үр дүнгээс хамаарсан урамшууллыг хасах, сануулах зэрэг арга хэмжээ авах эрхтэй байна.</w:t>
      </w:r>
    </w:p>
    <w:p>
      <w:pPr>
        <w:pStyle w:val="Normal"/>
        <w:ind w:left="0" w:right="0" w:firstLine="720"/>
        <w:jc w:val="both"/>
        <w:rPr>
          <w:color w:val="000000"/>
          <w:lang w:val="mn-Cyrl-MN"/>
        </w:rPr>
      </w:pPr>
      <w:r>
        <w:rPr>
          <w:color w:val="000000"/>
          <w:lang w:val="mn-Cyrl-MN"/>
        </w:rPr>
        <w:t>16.3.Ёс зүйн зөвлөл нь ёс зүйн ноцтой зөрчил гаргасан багшийн асуудлыг холбогдох дээд шатны ёс зүйн хороонд хүргүүлнэ.</w:t>
      </w:r>
    </w:p>
    <w:p>
      <w:pPr>
        <w:pStyle w:val="Normal"/>
        <w:jc w:val="both"/>
        <w:rPr>
          <w:color w:val="000000"/>
          <w:lang w:val="mn-Cyrl-MN"/>
        </w:rPr>
      </w:pPr>
      <w:r>
        <w:rPr>
          <w:color w:val="000000"/>
          <w:lang w:val="mn-Cyrl-MN"/>
        </w:rPr>
        <w:tab/>
        <w:t>16.4.Ёс зүйн хороо нь ноцтой зөрчил гаргасан эсвэл ёс зүйн зөрчил удаа дараа гаргасан багшийн багшлах эрхийг хасч, ажлын байрнаас чөлөөлж болно.</w:t>
      </w:r>
    </w:p>
    <w:p>
      <w:pPr>
        <w:pStyle w:val="Heading1"/>
        <w:spacing w:before="320" w:after="0"/>
        <w:jc w:val="center"/>
        <w:rPr>
          <w:color w:val="000000"/>
          <w:lang w:val="mn-Cyrl-MN"/>
        </w:rPr>
      </w:pPr>
      <w:r>
        <w:rPr>
          <w:color w:val="000000"/>
          <w:lang w:val="mn-Cyrl-MN"/>
        </w:rPr>
        <w:t>ТАВДУГААР БҮЛЭГ</w:t>
      </w:r>
    </w:p>
    <w:p>
      <w:pPr>
        <w:pStyle w:val="Heading1"/>
        <w:spacing w:before="0" w:after="160"/>
        <w:jc w:val="center"/>
        <w:rPr>
          <w:color w:val="000000"/>
          <w:lang w:val="mn-Cyrl-MN"/>
        </w:rPr>
      </w:pPr>
      <w:r>
        <w:rPr>
          <w:color w:val="000000"/>
          <w:lang w:val="mn-Cyrl-MN"/>
        </w:rPr>
        <w:t xml:space="preserve"> </w:t>
      </w:r>
      <w:r>
        <w:rPr>
          <w:color w:val="000000"/>
          <w:lang w:val="mn-Cyrl-MN"/>
        </w:rPr>
        <w:t>БАГШИЙН ХӨГЖЛИЙН БАТАЛГАА</w:t>
      </w:r>
    </w:p>
    <w:p>
      <w:pPr>
        <w:pStyle w:val="Heading2"/>
        <w:spacing w:before="120" w:after="160"/>
        <w:jc w:val="both"/>
        <w:rPr>
          <w:color w:val="000000"/>
          <w:lang w:val="mn-Cyrl-MN"/>
        </w:rPr>
      </w:pPr>
      <w:r>
        <w:rPr>
          <w:color w:val="000000"/>
          <w:lang w:val="mn-Cyrl-MN"/>
        </w:rPr>
        <w:tab/>
        <w:t>17 д</w:t>
      </w:r>
      <w:r>
        <w:rPr>
          <w:color w:val="000000"/>
          <w:lang w:val="mn-Cyrl-MN"/>
        </w:rPr>
        <w:t>угаар</w:t>
      </w:r>
      <w:r>
        <w:rPr>
          <w:color w:val="000000"/>
          <w:lang w:val="mn-Cyrl-MN"/>
        </w:rPr>
        <w:t xml:space="preserve"> зүйл.Багшийн хөгжлийн баталгаа</w:t>
      </w:r>
    </w:p>
    <w:p>
      <w:pPr>
        <w:pStyle w:val="Normal"/>
        <w:jc w:val="both"/>
        <w:rPr>
          <w:color w:val="000000"/>
          <w:lang w:val="mn-Cyrl-MN"/>
        </w:rPr>
      </w:pPr>
      <w:r>
        <w:rPr>
          <w:color w:val="000000"/>
          <w:lang w:val="mn-Cyrl-MN"/>
        </w:rPr>
        <w:tab/>
        <w:t>17.1.Багш нь Төрийн албаны тухай хуулийн 27.1-д заасан төрийн албан хаагчийн баталгаа, Боловсролын тухай хуулийн 43.1-д заасан нийгмийн баталгаанаас гадна багшийн хөгжилтэй холбоотойгоор дараахь баталгаагаар хангагдана:</w:t>
      </w:r>
    </w:p>
    <w:p>
      <w:pPr>
        <w:pStyle w:val="Normal"/>
        <w:ind w:left="0" w:right="0" w:firstLine="1418"/>
        <w:jc w:val="both"/>
        <w:rPr>
          <w:color w:val="000000"/>
          <w:lang w:val="mn-Cyrl-MN"/>
        </w:rPr>
      </w:pPr>
      <w:r>
        <w:rPr>
          <w:color w:val="000000"/>
          <w:lang w:val="mn-Cyrl-MN"/>
        </w:rPr>
        <w:tab/>
        <w:t>17.1.1.багшийн хүүхдийг сургуулийн өмнөх боловсролын байгууллага нь хамран суралцах тойргийн дагуу тэргүүн ээлжинд авна.</w:t>
      </w:r>
    </w:p>
    <w:p>
      <w:pPr>
        <w:pStyle w:val="Normal"/>
        <w:ind w:left="0" w:right="0" w:firstLine="1418"/>
        <w:jc w:val="both"/>
        <w:rPr>
          <w:color w:val="000000"/>
          <w:lang w:val="mn-Cyrl-MN"/>
        </w:rPr>
      </w:pPr>
      <w:r>
        <w:rPr>
          <w:color w:val="000000"/>
          <w:lang w:val="mn-Cyrl-MN"/>
        </w:rPr>
        <w:tab/>
        <w:t>17.1.2.ерөнхий боловсролын сургууль, цэцэрлэгийн багшийн мэргэжлийн зэргийг суралцагчдын сурлагын амжилт, чанар, суралцагч эсвэл түүний асран хамгаалагч, харгалзан дэмжигчийн сэтгэл ханамж, заах аргын чадвар, өөрийгөө хөгжүүлсэн байдлыг харгалзан хугацаанаас өмнө нэмэгдүүлж болно.</w:t>
      </w:r>
    </w:p>
    <w:p>
      <w:pPr>
        <w:pStyle w:val="Normal"/>
        <w:ind w:left="0" w:right="0" w:firstLine="1418"/>
        <w:jc w:val="both"/>
        <w:rPr>
          <w:color w:val="000000"/>
          <w:lang w:val="mn-Cyrl-MN"/>
        </w:rPr>
      </w:pPr>
      <w:bookmarkStart w:id="1" w:name="_Hlk486445011"/>
      <w:bookmarkEnd w:id="1"/>
      <w:r>
        <w:rPr>
          <w:color w:val="000000"/>
          <w:lang w:val="mn-Cyrl-MN"/>
        </w:rPr>
        <w:t xml:space="preserve">17.1.3.багшийн ажлын гүйцэтгэлд суурилсан урамшууллыг багшид олгож болно. </w:t>
      </w:r>
    </w:p>
    <w:p>
      <w:pPr>
        <w:pStyle w:val="Normal"/>
        <w:ind w:left="0" w:right="0" w:firstLine="1418"/>
        <w:jc w:val="both"/>
        <w:rPr>
          <w:color w:val="000000"/>
          <w:lang w:val="mn-Cyrl-MN"/>
        </w:rPr>
      </w:pPr>
      <w:bookmarkStart w:id="2" w:name="_Hlk486445011"/>
      <w:bookmarkEnd w:id="2"/>
      <w:r>
        <w:rPr>
          <w:color w:val="000000"/>
          <w:lang w:val="mn-Cyrl-MN"/>
        </w:rPr>
        <w:tab/>
        <w:t>17.1.4.багшийг жилд нэг удаа эрүүл мэндийн үзлэг, шинжилгээнд үнэ төлбөргүй хамруулна.</w:t>
      </w:r>
    </w:p>
    <w:p>
      <w:pPr>
        <w:pStyle w:val="Normal"/>
        <w:ind w:left="0" w:right="0" w:firstLine="720"/>
        <w:jc w:val="both"/>
        <w:rPr>
          <w:color w:val="000000"/>
          <w:lang w:val="mn-Cyrl-MN"/>
        </w:rPr>
      </w:pPr>
      <w:bookmarkStart w:id="3" w:name="_GoBack"/>
      <w:bookmarkEnd w:id="3"/>
      <w:r>
        <w:rPr>
          <w:color w:val="000000"/>
          <w:lang w:val="mn-Cyrl-MN"/>
        </w:rPr>
        <w:t>17.2.Багшийн хөгжлийн баталгаанд шаардагдах хөрөнгийг улсын төсвөөс санхүүжүүлнэ.</w:t>
      </w:r>
    </w:p>
    <w:p>
      <w:pPr>
        <w:pStyle w:val="Heading1"/>
        <w:spacing w:before="320" w:after="0"/>
        <w:jc w:val="center"/>
        <w:rPr>
          <w:color w:val="000000"/>
          <w:lang w:val="mn-Cyrl-MN"/>
        </w:rPr>
      </w:pPr>
      <w:r>
        <w:rPr>
          <w:color w:val="000000"/>
          <w:lang w:val="mn-Cyrl-MN"/>
        </w:rPr>
        <w:t>ЗУРГАДУГААР БҮЛЭГ</w:t>
      </w:r>
    </w:p>
    <w:p>
      <w:pPr>
        <w:pStyle w:val="Heading1"/>
        <w:spacing w:before="0" w:after="160"/>
        <w:jc w:val="center"/>
        <w:rPr>
          <w:color w:val="000000"/>
          <w:lang w:val="mn-Cyrl-MN"/>
        </w:rPr>
      </w:pPr>
      <w:r>
        <w:rPr>
          <w:color w:val="000000"/>
          <w:lang w:val="mn-Cyrl-MN"/>
        </w:rPr>
        <w:t>ТӨРИЙН БАЙГУУЛЛАГЫН ЭРХ, ҮҮРЭГ</w:t>
      </w:r>
    </w:p>
    <w:p>
      <w:pPr>
        <w:pStyle w:val="Heading2"/>
        <w:spacing w:before="120" w:after="160"/>
        <w:jc w:val="both"/>
        <w:rPr>
          <w:color w:val="000000"/>
          <w:lang w:val="mn-Cyrl-MN"/>
        </w:rPr>
      </w:pPr>
      <w:r>
        <w:rPr>
          <w:color w:val="000000"/>
          <w:lang w:val="mn-Cyrl-MN"/>
        </w:rPr>
        <w:tab/>
        <w:t>18 д</w:t>
      </w:r>
      <w:r>
        <w:rPr>
          <w:color w:val="000000"/>
          <w:lang w:val="mn-Cyrl-MN"/>
        </w:rPr>
        <w:t>угаар</w:t>
      </w:r>
      <w:r>
        <w:rPr>
          <w:color w:val="000000"/>
          <w:lang w:val="mn-Cyrl-MN"/>
        </w:rPr>
        <w:t xml:space="preserve"> зүйл.Засгийн газрын чиг үүрэг</w:t>
      </w:r>
    </w:p>
    <w:p>
      <w:pPr>
        <w:pStyle w:val="Normal"/>
        <w:jc w:val="both"/>
        <w:rPr>
          <w:color w:val="000000"/>
          <w:lang w:val="mn-Cyrl-MN"/>
        </w:rPr>
      </w:pPr>
      <w:r>
        <w:rPr>
          <w:color w:val="000000"/>
          <w:lang w:val="mn-Cyrl-MN"/>
        </w:rPr>
        <w:tab/>
        <w:t>18.1.Засгийн газар дараахь чиг үүргийг хэрэгжүүлнэ:</w:t>
      </w:r>
    </w:p>
    <w:p>
      <w:pPr>
        <w:pStyle w:val="Normal"/>
        <w:jc w:val="both"/>
        <w:rPr>
          <w:color w:val="000000"/>
          <w:lang w:val="mn-Cyrl-MN"/>
        </w:rPr>
      </w:pPr>
      <w:r>
        <w:rPr>
          <w:color w:val="000000"/>
          <w:lang w:val="mn-Cyrl-MN"/>
        </w:rPr>
        <w:tab/>
        <w:tab/>
        <w:t>18.1.1.багшийн хөгжлийг дэмжих хөтөлбөрийг 5 жил тутам батлах</w:t>
      </w:r>
    </w:p>
    <w:p>
      <w:pPr>
        <w:pStyle w:val="Normal"/>
        <w:jc w:val="both"/>
        <w:rPr>
          <w:color w:val="000000"/>
          <w:lang w:val="mn-Cyrl-MN"/>
        </w:rPr>
      </w:pPr>
      <w:bookmarkStart w:id="4" w:name="_30j0zll"/>
      <w:bookmarkEnd w:id="4"/>
      <w:r>
        <w:rPr>
          <w:color w:val="000000"/>
          <w:lang w:val="mn-Cyrl-MN"/>
        </w:rPr>
        <w:tab/>
        <w:tab/>
        <w:t>18.1.2.багшийн хөгжлийг дэмжих үйл ажиллагаа, хөтөлбөрийг хэрэгжүүлэхэд шаардагдах хөрөнгийг жил бүрийн улсын болон орон нутгийн төсөвт тусгаж, өргөн мэдүүлэх;</w:t>
      </w:r>
    </w:p>
    <w:p>
      <w:pPr>
        <w:pStyle w:val="Normal"/>
        <w:jc w:val="both"/>
        <w:rPr>
          <w:color w:val="000000"/>
          <w:lang w:val="mn-Cyrl-MN"/>
        </w:rPr>
      </w:pPr>
      <w:r>
        <w:rPr>
          <w:color w:val="000000"/>
          <w:lang w:val="mn-Cyrl-MN"/>
        </w:rPr>
        <w:tab/>
        <w:tab/>
        <w:t>18.1.3.хууль тогтоомжид заасан бусад.</w:t>
      </w:r>
    </w:p>
    <w:p>
      <w:pPr>
        <w:pStyle w:val="Heading2"/>
        <w:spacing w:before="120" w:after="160"/>
        <w:jc w:val="both"/>
        <w:rPr>
          <w:color w:val="000000"/>
          <w:lang w:val="mn-Cyrl-MN"/>
        </w:rPr>
      </w:pPr>
      <w:r>
        <w:rPr>
          <w:color w:val="000000"/>
          <w:lang w:val="mn-Cyrl-MN"/>
        </w:rPr>
        <w:tab/>
        <w:t>19 д</w:t>
      </w:r>
      <w:r>
        <w:rPr>
          <w:color w:val="000000"/>
          <w:lang w:val="mn-Cyrl-MN"/>
        </w:rPr>
        <w:t>үгээр</w:t>
      </w:r>
      <w:r>
        <w:rPr>
          <w:color w:val="000000"/>
          <w:lang w:val="mn-Cyrl-MN"/>
        </w:rPr>
        <w:t xml:space="preserve"> зүйл.Боловсролын асуудал эрхэлсэн төрийн захиргааны төв байгууллагын эрх, үүрэг</w:t>
      </w:r>
    </w:p>
    <w:p>
      <w:pPr>
        <w:pStyle w:val="Normal"/>
        <w:jc w:val="both"/>
        <w:rPr>
          <w:color w:val="000000"/>
          <w:lang w:val="mn-Cyrl-MN"/>
        </w:rPr>
      </w:pPr>
      <w:r>
        <w:rPr>
          <w:color w:val="000000"/>
          <w:lang w:val="mn-Cyrl-MN"/>
        </w:rPr>
        <w:tab/>
        <w:t>19.1 Боловсролын асуудал хариуцсан төрийн захиргааны төв байгууллага нь багшийн хөгжил, оролцоог нэмэгдүүлэх чиглэлээр дараахь чиг үүргийг хэрэгжүүлнэ:</w:t>
      </w:r>
    </w:p>
    <w:p>
      <w:pPr>
        <w:pStyle w:val="Normal"/>
        <w:jc w:val="both"/>
        <w:rPr>
          <w:color w:val="000000"/>
          <w:lang w:val="mn-Cyrl-MN"/>
        </w:rPr>
      </w:pPr>
      <w:r>
        <w:rPr>
          <w:color w:val="000000"/>
          <w:lang w:val="mn-Cyrl-MN"/>
        </w:rPr>
        <w:tab/>
        <w:tab/>
        <w:t>19.1.1.багшийг хөгжүүлэх хөтөлбөрийн хэрэгжилтийг зохион байгуулах;</w:t>
      </w:r>
    </w:p>
    <w:p>
      <w:pPr>
        <w:pStyle w:val="Normal"/>
        <w:jc w:val="both"/>
        <w:rPr>
          <w:color w:val="000000"/>
          <w:lang w:val="mn-Cyrl-MN"/>
        </w:rPr>
      </w:pPr>
      <w:r>
        <w:rPr>
          <w:color w:val="000000"/>
          <w:lang w:val="mn-Cyrl-MN"/>
        </w:rPr>
        <w:tab/>
        <w:tab/>
        <w:t>19.1.2.боловсролын асуудал хариуцсан төв байгууллага нь жил бүр бүх шатны боловсролын байгууллагын багш, ажилчдын эрэлт хэрэгцээний судалгаанд үндэслэн энэ хуулийн 10.3-д заасан тэтгэлгийг олгох;</w:t>
      </w:r>
    </w:p>
    <w:p>
      <w:pPr>
        <w:pStyle w:val="Normal"/>
        <w:ind w:left="0" w:right="0" w:firstLine="1440"/>
        <w:jc w:val="both"/>
        <w:rPr>
          <w:color w:val="000000"/>
          <w:lang w:val="mn-Cyrl-MN"/>
        </w:rPr>
      </w:pPr>
      <w:r>
        <w:rPr>
          <w:color w:val="000000"/>
          <w:lang w:val="mn-Cyrl-MN"/>
        </w:rPr>
        <w:t>19.1.3.багшийг түрээсийн орон сууц, ипотекийн зээлд хөнгөлөлттэй нөхцөлтэйгээр хамруулах хөтөлбөрийг Барилга, хот байгуулалтын асуудал эрхэлсэн төрийн захиргааны төв байгууллагатай хамтран хэрэгжүүлнэ.</w:t>
      </w:r>
    </w:p>
    <w:p>
      <w:pPr>
        <w:pStyle w:val="Normal"/>
        <w:ind w:left="720" w:right="0" w:firstLine="720"/>
        <w:jc w:val="both"/>
        <w:rPr>
          <w:color w:val="000000"/>
          <w:lang w:val="mn-Cyrl-MN"/>
        </w:rPr>
      </w:pPr>
      <w:r>
        <w:rPr>
          <w:color w:val="000000"/>
          <w:lang w:val="mn-Cyrl-MN"/>
        </w:rPr>
        <w:t>19.1.4.хуульд заасан бусад.</w:t>
      </w:r>
    </w:p>
    <w:p>
      <w:pPr>
        <w:pStyle w:val="Heading2"/>
        <w:spacing w:before="120" w:after="160"/>
        <w:jc w:val="both"/>
        <w:rPr>
          <w:color w:val="000000"/>
          <w:lang w:val="mn-Cyrl-MN"/>
        </w:rPr>
      </w:pPr>
      <w:r>
        <w:rPr>
          <w:color w:val="000000"/>
          <w:lang w:val="mn-Cyrl-MN"/>
        </w:rPr>
        <w:tab/>
        <w:t xml:space="preserve">20 </w:t>
      </w:r>
      <w:r>
        <w:rPr>
          <w:color w:val="000000"/>
          <w:lang w:val="mn-Cyrl-MN"/>
        </w:rPr>
        <w:t>дугаар</w:t>
      </w:r>
      <w:r>
        <w:rPr>
          <w:color w:val="000000"/>
          <w:lang w:val="mn-Cyrl-MN"/>
        </w:rPr>
        <w:t xml:space="preserve"> зүйл. Багшийн мэргэжил дээшлүүлэх сургалт-арга зүйн байгууллагын эрх, үүрэг</w:t>
      </w:r>
    </w:p>
    <w:p>
      <w:pPr>
        <w:pStyle w:val="Normal"/>
        <w:ind w:left="0" w:right="0" w:firstLine="720"/>
        <w:jc w:val="both"/>
        <w:rPr>
          <w:color w:val="000000"/>
          <w:lang w:val="mn-Cyrl-MN"/>
        </w:rPr>
      </w:pPr>
      <w:r>
        <w:rPr>
          <w:color w:val="000000"/>
          <w:lang w:val="mn-Cyrl-MN"/>
        </w:rPr>
        <w:t>20.1.Багшийг давтан сургах, мэргэжил дээшлүүлэх сургалтын хөтөлбөрийг жил бүр боловсруулж, боловсролын асуудал эрхэлсэн төрийн захиргааны төв байгууллагад хүргүүлж, батлуулах;</w:t>
      </w:r>
    </w:p>
    <w:p>
      <w:pPr>
        <w:pStyle w:val="Normal"/>
        <w:ind w:left="0" w:right="0" w:firstLine="720"/>
        <w:jc w:val="both"/>
        <w:rPr>
          <w:color w:val="000000"/>
          <w:lang w:val="mn-Cyrl-MN"/>
        </w:rPr>
      </w:pPr>
      <w:r>
        <w:rPr>
          <w:color w:val="000000"/>
          <w:lang w:val="mn-Cyrl-MN"/>
        </w:rPr>
        <w:t>20.2.Багшийн мэргэжил дээшлүүлэх сургалт-арга зүйн байгууллага нь бүх шатны боловсролын байгууллагын багшийн хөгжлийн төвд мэдээлэл, мэргэжил, арга зүйн зөвлөгөө өгөх;</w:t>
      </w:r>
    </w:p>
    <w:p>
      <w:pPr>
        <w:pStyle w:val="Normal"/>
        <w:ind w:left="0" w:right="0" w:firstLine="720"/>
        <w:jc w:val="both"/>
        <w:rPr>
          <w:color w:val="000000"/>
          <w:lang w:val="mn-Cyrl-MN"/>
        </w:rPr>
      </w:pPr>
      <w:r>
        <w:rPr>
          <w:color w:val="000000"/>
          <w:lang w:val="mn-Cyrl-MN"/>
        </w:rPr>
        <w:t>20.3.Багшийг хөгжүүлэх талаар цахим мэдээллийн санг бүрдүүлж багшийн хөгжлийн төвүүдийг хангах</w:t>
      </w:r>
    </w:p>
    <w:p>
      <w:pPr>
        <w:pStyle w:val="Normal"/>
        <w:ind w:left="0" w:right="0" w:firstLine="720"/>
        <w:jc w:val="both"/>
        <w:rPr>
          <w:color w:val="000000"/>
          <w:lang w:val="mn-Cyrl-MN"/>
        </w:rPr>
      </w:pPr>
      <w:r>
        <w:rPr>
          <w:color w:val="000000"/>
          <w:lang w:val="mn-Cyrl-MN"/>
        </w:rPr>
        <w:t>20.4.Багшийн хөгжлийн асуудлаар тогтмол судалгаа явуулах;</w:t>
      </w:r>
    </w:p>
    <w:p>
      <w:pPr>
        <w:pStyle w:val="Normal"/>
        <w:ind w:left="0" w:right="0" w:firstLine="720"/>
        <w:jc w:val="both"/>
        <w:rPr>
          <w:color w:val="000000"/>
          <w:lang w:val="mn-Cyrl-MN"/>
        </w:rPr>
      </w:pPr>
      <w:r>
        <w:rPr>
          <w:color w:val="000000"/>
          <w:lang w:val="mn-Cyrl-MN"/>
        </w:rPr>
        <w:t>20.5.Багшийн хөгжилтэй холбоотой үзүүлэн, ном, товхимолыг тогтмол бэлтгэх;</w:t>
      </w:r>
    </w:p>
    <w:p>
      <w:pPr>
        <w:pStyle w:val="Normal"/>
        <w:ind w:left="0" w:right="0" w:firstLine="720"/>
        <w:jc w:val="both"/>
        <w:rPr>
          <w:color w:val="000000"/>
          <w:lang w:val="mn-Cyrl-MN"/>
        </w:rPr>
      </w:pPr>
      <w:r>
        <w:rPr>
          <w:color w:val="000000"/>
          <w:lang w:val="mn-Cyrl-MN"/>
        </w:rPr>
        <w:t>20.6.Энэ хуулийн 11.2-д заасан сургалтыг орон даяар зохион байгуулах;</w:t>
      </w:r>
    </w:p>
    <w:p>
      <w:pPr>
        <w:pStyle w:val="Normal"/>
        <w:ind w:left="0" w:right="0" w:firstLine="720"/>
        <w:jc w:val="both"/>
        <w:rPr>
          <w:color w:val="000000"/>
          <w:lang w:val="mn-Cyrl-MN"/>
        </w:rPr>
      </w:pPr>
      <w:r>
        <w:rPr>
          <w:color w:val="000000"/>
          <w:lang w:val="mn-Cyrl-MN"/>
        </w:rPr>
        <w:t>20.7.Багш мэргэжлээр их, дээд сургууль төгсөөгүй дээд боловсролтой төгсөгчдөд багшлах эрх олгох, сунгах шалгалтыг зохион байгуулна.</w:t>
      </w:r>
    </w:p>
    <w:p>
      <w:pPr>
        <w:pStyle w:val="Heading1"/>
        <w:spacing w:before="320" w:after="0"/>
        <w:jc w:val="center"/>
        <w:rPr>
          <w:color w:val="000000"/>
          <w:szCs w:val="24"/>
          <w:lang w:val="mn-Cyrl-MN"/>
        </w:rPr>
      </w:pPr>
      <w:r>
        <w:rPr>
          <w:color w:val="000000"/>
          <w:szCs w:val="24"/>
          <w:lang w:val="mn-Cyrl-MN"/>
        </w:rPr>
        <w:t>ДОЛДУГААР БҮЛЭГ</w:t>
      </w:r>
    </w:p>
    <w:p>
      <w:pPr>
        <w:pStyle w:val="Heading1"/>
        <w:spacing w:before="0" w:after="160"/>
        <w:jc w:val="center"/>
        <w:rPr>
          <w:color w:val="000000"/>
          <w:szCs w:val="24"/>
          <w:lang w:val="mn-Cyrl-MN"/>
        </w:rPr>
      </w:pPr>
      <w:r>
        <w:rPr>
          <w:color w:val="000000"/>
          <w:szCs w:val="24"/>
          <w:lang w:val="mn-Cyrl-MN"/>
        </w:rPr>
        <w:t>ХУУЛИЙН БИЕЛЭЛТЭД ХЯНАЛТ ТАВИХ</w:t>
      </w:r>
    </w:p>
    <w:p>
      <w:pPr>
        <w:pStyle w:val="Heading2"/>
        <w:spacing w:before="120" w:after="160"/>
        <w:jc w:val="both"/>
        <w:rPr>
          <w:color w:val="000000"/>
          <w:lang w:val="mn-Cyrl-MN"/>
        </w:rPr>
      </w:pPr>
      <w:r>
        <w:rPr>
          <w:color w:val="000000"/>
          <w:lang w:val="mn-Cyrl-MN"/>
        </w:rPr>
        <w:tab/>
        <w:t>21 дүгээр зүйл.Багшийн хөгжлийн тухай хууль тогтоомжийн биелэлтэд хяналт тавих</w:t>
      </w:r>
    </w:p>
    <w:p>
      <w:pPr>
        <w:pStyle w:val="Normal"/>
        <w:jc w:val="both"/>
        <w:rPr>
          <w:color w:val="000000"/>
          <w:lang w:val="mn-Cyrl-MN"/>
        </w:rPr>
      </w:pPr>
      <w:r>
        <w:rPr>
          <w:b/>
          <w:color w:val="000000"/>
          <w:lang w:val="mn-Cyrl-MN"/>
        </w:rPr>
        <w:tab/>
      </w:r>
      <w:r>
        <w:rPr>
          <w:color w:val="000000"/>
          <w:lang w:val="mn-Cyrl-MN"/>
        </w:rPr>
        <w:t>21.1.Засгийн газар, бүх шатны Засаг дарга, хууль тогтоомжоор эрх олгосон бусад байгууллага, албан тушаалтан эрх хэмжээнийхээ хүрээнд багшийн хөгжлийн баталгааны тухай хууль тогтоомжийн биелэлтэд хяналт тавина.</w:t>
      </w:r>
    </w:p>
    <w:p>
      <w:pPr>
        <w:pStyle w:val="Normal"/>
        <w:jc w:val="both"/>
        <w:rPr>
          <w:color w:val="000000"/>
          <w:lang w:val="mn-Cyrl-MN"/>
        </w:rPr>
      </w:pPr>
      <w:r>
        <w:rPr>
          <w:color w:val="000000"/>
          <w:lang w:val="mn-Cyrl-MN"/>
        </w:rPr>
        <w:tab/>
        <w:t>21.2.Энэ хуулийг зөрчсөн албан тушаалтны үйлдэл нь гэмт хэргийн шинжгүй бол Төрийн албаны тухай хуульд заасан хариуцлага хүлээнэ.</w:t>
      </w:r>
    </w:p>
    <w:p>
      <w:pPr>
        <w:pStyle w:val="Normal"/>
        <w:jc w:val="both"/>
        <w:rPr>
          <w:color w:val="000000"/>
          <w:lang w:val="mn-Cyrl-MN"/>
        </w:rPr>
      </w:pPr>
      <w:r>
        <w:rPr>
          <w:color w:val="000000"/>
          <w:lang w:val="mn-Cyrl-MN"/>
        </w:rPr>
        <w:tab/>
        <w:t>21.3.Энэ хуулийг зөрчсөн хүн, хуулийн этгээдэд Эрүүгийн хууль, эсхүл Зөрчлийн тухай хуульд заасан хариуцлага хүлээлгэнэ.</w:t>
      </w:r>
    </w:p>
    <w:p>
      <w:pPr>
        <w:pStyle w:val="Heading1"/>
        <w:spacing w:before="320" w:after="0"/>
        <w:jc w:val="center"/>
        <w:rPr>
          <w:color w:val="000000"/>
          <w:lang w:val="mn-Cyrl-MN"/>
        </w:rPr>
      </w:pPr>
      <w:r>
        <w:rPr>
          <w:color w:val="000000"/>
          <w:lang w:val="mn-Cyrl-MN"/>
        </w:rPr>
        <w:t>НАЙМДУГААР ЗҮЙЛ</w:t>
      </w:r>
    </w:p>
    <w:p>
      <w:pPr>
        <w:pStyle w:val="Heading1"/>
        <w:spacing w:before="0" w:after="160"/>
        <w:jc w:val="center"/>
        <w:rPr>
          <w:color w:val="000000"/>
          <w:lang w:val="mn-Cyrl-MN"/>
        </w:rPr>
      </w:pPr>
      <w:r>
        <w:rPr>
          <w:color w:val="000000"/>
          <w:lang w:val="mn-Cyrl-MN"/>
        </w:rPr>
        <w:t>БУСАД ЗҮЙЛ</w:t>
      </w:r>
    </w:p>
    <w:p>
      <w:pPr>
        <w:pStyle w:val="Heading2"/>
        <w:spacing w:before="120" w:after="160"/>
        <w:jc w:val="both"/>
        <w:rPr>
          <w:color w:val="000000"/>
          <w:lang w:val="mn-Cyrl-MN"/>
        </w:rPr>
      </w:pPr>
      <w:r>
        <w:rPr>
          <w:color w:val="000000"/>
          <w:lang w:val="mn-Cyrl-MN"/>
        </w:rPr>
        <w:tab/>
        <w:t>22 дугаар зүйл.Хууль хүчин төгөлдөр болох</w:t>
      </w:r>
    </w:p>
    <w:p>
      <w:pPr>
        <w:pStyle w:val="Normal"/>
        <w:jc w:val="both"/>
        <w:rPr>
          <w:color w:val="000000"/>
          <w:lang w:val="mn-Cyrl-MN"/>
        </w:rPr>
      </w:pPr>
      <w:r>
        <w:rPr>
          <w:b/>
          <w:color w:val="000000"/>
          <w:lang w:val="mn-Cyrl-MN"/>
        </w:rPr>
        <w:tab/>
      </w:r>
      <w:r>
        <w:rPr>
          <w:color w:val="000000"/>
          <w:lang w:val="mn-Cyrl-MN"/>
        </w:rPr>
        <w:t>22.1.Энэ хуулийг 2018 оны 01 дүгээр сарын 01-ний өдрөөс эхлэн дагаж мөрдөнө.</w:t>
      </w:r>
    </w:p>
    <w:p>
      <w:pPr>
        <w:pStyle w:val="Normal"/>
        <w:jc w:val="both"/>
        <w:rPr>
          <w:color w:val="000000"/>
          <w:lang w:val="mn-Cyrl-MN"/>
        </w:rPr>
      </w:pPr>
      <w:r>
        <w:rPr>
          <w:color w:val="000000"/>
          <w:lang w:val="mn-Cyrl-MN"/>
        </w:rPr>
      </w:r>
    </w:p>
    <w:p>
      <w:pPr>
        <w:pStyle w:val="Normal"/>
        <w:jc w:val="both"/>
        <w:rPr>
          <w:color w:val="000000"/>
          <w:lang w:val="mn-Cyrl-MN"/>
        </w:rPr>
      </w:pPr>
      <w:r>
        <w:rPr>
          <w:color w:val="000000"/>
          <w:lang w:val="mn-Cyrl-MN"/>
        </w:rPr>
      </w:r>
    </w:p>
    <w:p>
      <w:pPr>
        <w:pStyle w:val="Normal"/>
        <w:jc w:val="both"/>
        <w:rPr>
          <w:color w:val="000000"/>
          <w:lang w:val="mn-Cyrl-MN"/>
        </w:rPr>
      </w:pPr>
      <w:r>
        <w:rPr>
          <w:color w:val="000000"/>
          <w:lang w:val="mn-Cyrl-MN"/>
        </w:rPr>
      </w:r>
    </w:p>
    <w:p>
      <w:pPr>
        <w:pStyle w:val="Normal"/>
        <w:jc w:val="center"/>
        <w:rPr>
          <w:b/>
          <w:color w:val="000000"/>
          <w:lang w:val="mn-Cyrl-MN"/>
        </w:rPr>
      </w:pPr>
      <w:r>
        <w:rPr>
          <w:b/>
          <w:color w:val="000000"/>
          <w:lang w:val="mn-Cyrl-MN"/>
        </w:rPr>
        <w:t>ГАРЫН ҮСЭГ</w:t>
      </w:r>
    </w:p>
    <w:p>
      <w:pPr>
        <w:pStyle w:val="Normal"/>
        <w:jc w:val="both"/>
        <w:rPr>
          <w:color w:val="000000"/>
          <w:lang w:val="mn-Cyrl-MN"/>
        </w:rPr>
      </w:pPr>
      <w:r>
        <w:rPr>
          <w:color w:val="000000"/>
          <w:lang w:val="mn-Cyrl-MN"/>
        </w:rPr>
      </w:r>
    </w:p>
    <w:p>
      <w:pPr>
        <w:pStyle w:val="Normal"/>
        <w:jc w:val="both"/>
        <w:rPr>
          <w:i/>
          <w:color w:val="000000"/>
          <w:lang w:val="mn-Cyrl-MN"/>
        </w:rPr>
      </w:pPr>
      <w:r>
        <w:rPr>
          <w:i/>
          <w:color w:val="000000"/>
          <w:lang w:val="mn-Cyrl-MN"/>
        </w:rPr>
      </w:r>
    </w:p>
    <w:p>
      <w:pPr>
        <w:pStyle w:val="Normal"/>
        <w:jc w:val="both"/>
        <w:rPr>
          <w:i/>
          <w:color w:val="000000"/>
          <w:lang w:val="mn-Cyrl-MN"/>
        </w:rPr>
      </w:pPr>
      <w:r>
        <w:rPr>
          <w:i/>
          <w:color w:val="000000"/>
          <w:lang w:val="mn-Cyrl-MN"/>
        </w:rPr>
      </w:r>
    </w:p>
    <w:p>
      <w:pPr>
        <w:pStyle w:val="Normal"/>
        <w:jc w:val="both"/>
        <w:rPr>
          <w:i/>
          <w:color w:val="000000"/>
          <w:lang w:val="mn-Cyrl-MN"/>
        </w:rPr>
      </w:pPr>
      <w:r>
        <w:rPr>
          <w:i/>
          <w:color w:val="000000"/>
          <w:lang w:val="mn-Cyrl-MN"/>
        </w:rPr>
      </w:r>
    </w:p>
    <w:p>
      <w:pPr>
        <w:pStyle w:val="Normal"/>
        <w:jc w:val="both"/>
        <w:rPr>
          <w:i/>
          <w:color w:val="000000"/>
          <w:lang w:val="mn-Cyrl-MN"/>
        </w:rPr>
      </w:pPr>
      <w:r>
        <w:rPr>
          <w:i/>
          <w:color w:val="000000"/>
          <w:lang w:val="mn-Cyrl-MN"/>
        </w:rPr>
      </w:r>
    </w:p>
    <w:p>
      <w:pPr>
        <w:pStyle w:val="Normal"/>
        <w:jc w:val="both"/>
        <w:rPr>
          <w:i/>
          <w:color w:val="000000"/>
          <w:lang w:val="mn-Cyrl-MN"/>
        </w:rPr>
      </w:pPr>
      <w:r>
        <w:rPr>
          <w:i/>
          <w:color w:val="000000"/>
          <w:lang w:val="mn-Cyrl-MN"/>
        </w:rPr>
      </w:r>
    </w:p>
    <w:p>
      <w:pPr>
        <w:pStyle w:val="Normal"/>
        <w:jc w:val="both"/>
        <w:rPr>
          <w:i/>
          <w:color w:val="000000"/>
          <w:lang w:val="mn-Cyrl-MN"/>
        </w:rPr>
      </w:pPr>
      <w:r>
        <w:rPr>
          <w:i/>
          <w:color w:val="000000"/>
          <w:lang w:val="mn-Cyrl-MN"/>
        </w:rPr>
      </w:r>
    </w:p>
    <w:p>
      <w:pPr>
        <w:pStyle w:val="Normal"/>
        <w:jc w:val="both"/>
        <w:rPr>
          <w:i/>
          <w:color w:val="000000"/>
          <w:lang w:val="mn-Cyrl-MN"/>
        </w:rPr>
      </w:pPr>
      <w:r>
        <w:rPr>
          <w:i/>
          <w:color w:val="000000"/>
          <w:lang w:val="mn-Cyrl-MN"/>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i w:val="false"/>
          <w:iCs w:val="false"/>
        </w:rPr>
      </w:pPr>
      <w:r>
        <w:rPr>
          <w:i w:val="false"/>
          <w:iCs w:val="false"/>
        </w:rPr>
      </w:r>
    </w:p>
    <w:p>
      <w:pPr>
        <w:pStyle w:val="Normal"/>
        <w:jc w:val="right"/>
        <w:rPr>
          <w:i w:val="false"/>
          <w:iCs w:val="false"/>
        </w:rPr>
      </w:pPr>
      <w:r>
        <w:rPr>
          <w:i w:val="false"/>
          <w:iCs w:val="false"/>
        </w:rPr>
      </w:r>
    </w:p>
    <w:p>
      <w:pPr>
        <w:pStyle w:val="Normal"/>
        <w:jc w:val="right"/>
        <w:rPr>
          <w:i w:val="false"/>
          <w:iCs w:val="false"/>
          <w:color w:val="000000"/>
          <w:lang w:val="mn-Cyrl-MN"/>
        </w:rPr>
      </w:pPr>
      <w:r>
        <w:rPr>
          <w:i w:val="false"/>
          <w:iCs w:val="false"/>
          <w:color w:val="000000"/>
          <w:lang w:val="mn-Cyrl-MN"/>
        </w:rPr>
        <w:t>Төсөл</w:t>
      </w:r>
    </w:p>
    <w:p>
      <w:pPr>
        <w:pStyle w:val="Normal"/>
        <w:jc w:val="both"/>
        <w:rPr>
          <w:i/>
          <w:color w:val="000000"/>
          <w:lang w:val="mn-Cyrl-MN"/>
        </w:rPr>
      </w:pPr>
      <w:r>
        <w:rPr>
          <w:i/>
          <w:color w:val="000000"/>
          <w:lang w:val="mn-Cyrl-MN"/>
        </w:rPr>
      </w:r>
    </w:p>
    <w:p>
      <w:pPr>
        <w:pStyle w:val="Normal"/>
        <w:spacing w:before="0" w:after="0"/>
        <w:jc w:val="center"/>
        <w:rPr>
          <w:b/>
          <w:color w:val="000000"/>
          <w:lang w:val="mn-Cyrl-MN"/>
        </w:rPr>
      </w:pPr>
      <w:r>
        <w:rPr>
          <w:b/>
          <w:color w:val="000000"/>
          <w:lang w:val="mn-Cyrl-MN"/>
        </w:rPr>
        <w:t>МОНГОЛ УЛСЫН ХУУЛЬ</w:t>
      </w:r>
    </w:p>
    <w:p>
      <w:pPr>
        <w:pStyle w:val="Normal"/>
        <w:spacing w:before="0" w:after="0"/>
        <w:jc w:val="both"/>
        <w:rPr>
          <w:b/>
          <w:color w:val="000000"/>
          <w:lang w:val="mn-Cyrl-MN"/>
        </w:rPr>
      </w:pPr>
      <w:r>
        <w:rPr>
          <w:b/>
          <w:color w:val="000000"/>
          <w:lang w:val="mn-Cyrl-MN"/>
        </w:rPr>
      </w:r>
    </w:p>
    <w:p>
      <w:pPr>
        <w:pStyle w:val="Normal"/>
        <w:spacing w:before="0" w:after="0"/>
        <w:jc w:val="both"/>
        <w:rPr>
          <w:color w:val="000000"/>
          <w:lang w:val="mn-Cyrl-MN"/>
        </w:rPr>
      </w:pPr>
      <w:r>
        <w:rPr>
          <w:color w:val="000000"/>
          <w:lang w:val="mn-Cyrl-MN"/>
        </w:rPr>
      </w:r>
    </w:p>
    <w:p>
      <w:pPr>
        <w:pStyle w:val="Normal"/>
        <w:tabs>
          <w:tab w:val="right" w:pos="9355" w:leader="none"/>
        </w:tabs>
        <w:spacing w:before="0" w:after="0"/>
        <w:jc w:val="both"/>
        <w:rPr>
          <w:color w:val="000000"/>
          <w:lang w:val="mn-Cyrl-MN"/>
        </w:rPr>
      </w:pPr>
      <w:r>
        <w:rPr>
          <w:color w:val="000000"/>
          <w:lang w:val="mn-Cyrl-MN"/>
        </w:rPr>
        <w:t>2017 оны .. дугаар</w:t>
        <w:tab/>
        <w:t>Улаанбаатар</w:t>
      </w:r>
    </w:p>
    <w:p>
      <w:pPr>
        <w:pStyle w:val="Normal"/>
        <w:spacing w:before="0" w:after="0"/>
        <w:jc w:val="both"/>
        <w:rPr>
          <w:color w:val="000000"/>
          <w:lang w:val="mn-Cyrl-MN"/>
        </w:rPr>
      </w:pPr>
      <w:r>
        <w:rPr>
          <w:color w:val="000000"/>
          <w:lang w:val="mn-Cyrl-MN"/>
        </w:rPr>
        <w:t>сарын ..-ны өдөр</w:t>
        <w:tab/>
        <w:tab/>
        <w:tab/>
        <w:tab/>
        <w:tab/>
        <w:tab/>
        <w:tab/>
        <w:t xml:space="preserve">                                хот</w:t>
      </w:r>
    </w:p>
    <w:p>
      <w:pPr>
        <w:pStyle w:val="Normal"/>
        <w:jc w:val="both"/>
        <w:rPr>
          <w:color w:val="000000"/>
          <w:lang w:val="mn-Cyrl-MN"/>
        </w:rPr>
      </w:pPr>
      <w:r>
        <w:rPr>
          <w:color w:val="000000"/>
          <w:lang w:val="mn-Cyrl-MN"/>
        </w:rPr>
      </w:r>
    </w:p>
    <w:p>
      <w:pPr>
        <w:pStyle w:val="Normal"/>
        <w:spacing w:before="0" w:after="0"/>
        <w:jc w:val="center"/>
        <w:rPr>
          <w:b/>
          <w:color w:val="000000"/>
          <w:lang w:val="mn-Cyrl-MN"/>
        </w:rPr>
      </w:pPr>
      <w:r>
        <w:rPr>
          <w:b/>
          <w:color w:val="000000"/>
          <w:lang w:val="mn-Cyrl-MN"/>
        </w:rPr>
        <w:t xml:space="preserve">БОЛОВСРОЛЫН ТУХАЙ </w:t>
      </w:r>
    </w:p>
    <w:p>
      <w:pPr>
        <w:pStyle w:val="Normal"/>
        <w:jc w:val="center"/>
        <w:rPr>
          <w:b/>
          <w:color w:val="000000"/>
          <w:lang w:val="mn-Cyrl-MN"/>
        </w:rPr>
      </w:pPr>
      <w:r>
        <w:rPr>
          <w:b/>
          <w:color w:val="000000"/>
          <w:lang w:val="mn-Cyrl-MN"/>
        </w:rPr>
        <w:t>ХУУЛЬД ӨӨРЧЛӨЛТ ОРУУЛАХ ТУХАЙ</w:t>
      </w:r>
    </w:p>
    <w:p>
      <w:pPr>
        <w:pStyle w:val="Normal"/>
        <w:ind w:left="0" w:right="0" w:firstLine="720"/>
        <w:jc w:val="both"/>
        <w:rPr>
          <w:color w:val="000000"/>
          <w:lang w:val="mn-Cyrl-MN"/>
        </w:rPr>
      </w:pPr>
      <w:r>
        <w:rPr>
          <w:b/>
          <w:color w:val="000000"/>
          <w:lang w:val="mn-Cyrl-MN"/>
        </w:rPr>
        <w:t xml:space="preserve">1 дүгээр зүйл. </w:t>
      </w:r>
      <w:r>
        <w:rPr>
          <w:color w:val="000000"/>
          <w:lang w:val="mn-Cyrl-MN"/>
        </w:rPr>
        <w:t>Боловсролын тухай хуулийн 48 дугаар зүйлийн 2 дахь хэсгийн 8 дахь заалтын “  болон багшийн” гэх хэсгийг хассугай.</w:t>
      </w:r>
    </w:p>
    <w:p>
      <w:pPr>
        <w:pStyle w:val="Normal"/>
        <w:ind w:left="0" w:right="0" w:firstLine="720"/>
        <w:jc w:val="both"/>
        <w:rPr>
          <w:color w:val="000000"/>
          <w:lang w:val="mn-Cyrl-MN"/>
        </w:rPr>
      </w:pPr>
      <w:r>
        <w:rPr>
          <w:b/>
          <w:color w:val="000000"/>
          <w:lang w:val="mn-Cyrl-MN"/>
        </w:rPr>
        <w:t xml:space="preserve">2 дугаар зүйл. </w:t>
      </w:r>
      <w:r>
        <w:rPr>
          <w:color w:val="000000"/>
          <w:lang w:val="mn-Cyrl-MN"/>
        </w:rPr>
        <w:t>Боловсролын тухай хуулийн 40 дүгээр зүйлийн 8 дахь хэсэг, 43 дугаар зүйлийн 1 дэх хэсгийн 7 дахь заалт, 43 дугаар зүйлийн 2 дахь хэсгийн 8 дахь заалтыг тус тус хүчингүй болсонд тооцсугай.</w:t>
      </w:r>
    </w:p>
    <w:p>
      <w:pPr>
        <w:pStyle w:val="Normal"/>
        <w:ind w:left="0" w:right="0" w:firstLine="720"/>
        <w:jc w:val="both"/>
        <w:rPr>
          <w:color w:val="000000"/>
          <w:lang w:val="mn-Cyrl-MN"/>
        </w:rPr>
      </w:pPr>
      <w:r>
        <w:rPr>
          <w:b/>
          <w:color w:val="000000"/>
          <w:lang w:val="mn-Cyrl-MN"/>
        </w:rPr>
        <w:t>3 дугаар зүйл.</w:t>
      </w:r>
      <w:r>
        <w:rPr>
          <w:color w:val="000000"/>
          <w:lang w:val="mn-Cyrl-MN"/>
        </w:rPr>
        <w:t xml:space="preserve"> Энэ хуулийг Багшийн хөгжлийн баталгааны тухай хууль хүчин төгөлдөр болсон өдрөөс эхлэн дагаж мөрдөнө.</w:t>
      </w:r>
    </w:p>
    <w:p>
      <w:pPr>
        <w:pStyle w:val="Normal"/>
        <w:ind w:left="0" w:right="0" w:firstLine="720"/>
        <w:jc w:val="both"/>
        <w:rPr>
          <w:color w:val="000000"/>
          <w:lang w:val="mn-Cyrl-MN"/>
        </w:rPr>
      </w:pPr>
      <w:r>
        <w:rPr>
          <w:color w:val="000000"/>
          <w:lang w:val="mn-Cyrl-MN"/>
        </w:rPr>
      </w:r>
    </w:p>
    <w:p>
      <w:pPr>
        <w:pStyle w:val="Normal"/>
        <w:ind w:left="0" w:right="0" w:firstLine="720"/>
        <w:jc w:val="both"/>
        <w:rPr>
          <w:color w:val="000000"/>
          <w:lang w:val="mn-Cyrl-MN"/>
        </w:rPr>
      </w:pPr>
      <w:r>
        <w:rPr>
          <w:color w:val="000000"/>
          <w:lang w:val="mn-Cyrl-MN"/>
        </w:rPr>
      </w:r>
    </w:p>
    <w:p>
      <w:pPr>
        <w:pStyle w:val="Normal"/>
        <w:jc w:val="center"/>
        <w:rPr>
          <w:b/>
          <w:color w:val="000000"/>
          <w:lang w:val="mn-Cyrl-MN"/>
        </w:rPr>
      </w:pPr>
      <w:r>
        <w:rPr>
          <w:b/>
          <w:color w:val="000000"/>
          <w:lang w:val="mn-Cyrl-MN"/>
        </w:rPr>
        <w:t>ГАРЫН ҮСЭГ</w:t>
      </w:r>
    </w:p>
    <w:p>
      <w:pPr>
        <w:pStyle w:val="Normal"/>
        <w:jc w:val="both"/>
        <w:rPr/>
      </w:pPr>
      <w:r>
        <w:rPr/>
      </w:r>
    </w:p>
    <w:sectPr>
      <w:headerReference w:type="default" r:id="rId2"/>
      <w:footerReference w:type="default" r:id="rId3"/>
      <w:type w:val="nextPage"/>
      <w:pgSz w:w="11906" w:h="16838"/>
      <w:pgMar w:left="1276" w:right="850" w:header="0" w:top="1260" w:footer="720" w:bottom="810"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tabs>
        <w:tab w:val="center" w:pos="4680" w:leader="none"/>
        <w:tab w:val="right" w:pos="9360" w:leader="none"/>
      </w:tabs>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1134" w:after="160"/>
      <w:rPr/>
    </w:pPr>
    <w:r>
      <w:rPr/>
    </w:r>
  </w:p>
</w:hdr>
</file>

<file path=word/settings.xml><?xml version="1.0" encoding="utf-8"?>
<w:settings xmlns:w="http://schemas.openxmlformats.org/wordprocessingml/2006/main">
  <w:zoom w:percent="100"/>
  <w:displayBackgroundShape/>
  <w:defaultTabStop w:val="720"/>
</w:settings>
</file>

<file path=word/styles.xml><?xml version="1.0" encoding="utf-8"?>
<w:styles xmlns:w="http://schemas.openxmlformats.org/wordprocessingml/2006/main">
  <w:docDefaults>
    <w:rPrDefault>
      <w:rPr>
        <w:rFonts w:ascii="Arial" w:hAnsi="Arial" w:eastAsia="Arial" w:cs="Arial"/>
        <w:color w:val="00000A"/>
        <w:sz w:val="24"/>
        <w:szCs w:val="24"/>
        <w:lang w:val="en-US" w:eastAsia="en-US" w:bidi="ar-SA"/>
      </w:rPr>
    </w:rPrDefault>
    <w:pPrDefault>
      <w:pPr>
        <w:spacing w:lineRule="auto" w:line="252"/>
        <w:jc w:val="both"/>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pPr>
      <w:widowControl/>
      <w:suppressAutoHyphens w:val="true"/>
      <w:bidi w:val="0"/>
      <w:spacing w:lineRule="auto" w:line="252" w:before="0" w:after="160"/>
      <w:jc w:val="left"/>
    </w:pPr>
    <w:rPr>
      <w:rFonts w:ascii="Arial" w:hAnsi="Arial" w:eastAsia="Arial" w:cs="Arial"/>
      <w:color w:val="00000A"/>
      <w:sz w:val="24"/>
      <w:szCs w:val="24"/>
      <w:lang w:val="en-US" w:eastAsia="en-US" w:bidi="ar-SA"/>
    </w:rPr>
  </w:style>
  <w:style w:type="paragraph" w:styleId="Heading1">
    <w:name w:val="Heading 1"/>
    <w:basedOn w:val="Normal"/>
    <w:next w:val="Normal"/>
    <w:pPr>
      <w:keepNext/>
      <w:keepLines/>
      <w:spacing w:before="320" w:after="40"/>
      <w:outlineLvl w:val="0"/>
    </w:pPr>
    <w:rPr>
      <w:b/>
      <w:smallCaps/>
      <w:sz w:val="28"/>
      <w:szCs w:val="28"/>
    </w:rPr>
  </w:style>
  <w:style w:type="paragraph" w:styleId="Heading2">
    <w:name w:val="Heading 2"/>
    <w:basedOn w:val="Normal"/>
    <w:next w:val="Normal"/>
    <w:pPr>
      <w:keepNext/>
      <w:keepLines/>
      <w:spacing w:before="120" w:after="0"/>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7d4b3f"/>
    <w:basedOn w:val="DefaultParagraphFont"/>
    <w:rPr>
      <w:rFonts w:ascii="Segoe UI" w:hAnsi="Segoe UI" w:cs="Segoe UI"/>
      <w:sz w:val="18"/>
      <w:szCs w:val="18"/>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paragraph" w:styleId="BalloonText">
    <w:name w:val="Balloon Text"/>
    <w:uiPriority w:val="99"/>
    <w:semiHidden/>
    <w:unhideWhenUsed/>
    <w:link w:val="BalloonTextChar"/>
    <w:rsid w:val="007d4b3f"/>
    <w:basedOn w:val="Normal"/>
    <w:pPr>
      <w:spacing w:lineRule="auto" w:line="240" w:before="0" w:after="0"/>
    </w:pPr>
    <w:rPr>
      <w:rFonts w:ascii="Segoe UI" w:hAnsi="Segoe UI" w:cs="Segoe UI"/>
      <w:sz w:val="18"/>
      <w:szCs w:val="18"/>
    </w:rPr>
  </w:style>
  <w:style w:type="paragraph" w:styleId="Header">
    <w:name w:val="Header"/>
    <w:basedOn w:val="Normal"/>
    <w:pPr/>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2017-06-15T08:14:00Z</dcterms:created>
  <dc:creator>Onolt Davaadorj</dc:creator>
  <dc:language>en-US</dc:language>
  <cp:lastModifiedBy>Galsan</cp:lastModifiedBy>
  <cp:lastPrinted>2017-06-16T06:05:00Z</cp:lastPrinted>
  <dcterms:modified xsi:type="dcterms:W3CDTF">2017-06-28T13:34:00Z</dcterms:modified>
  <cp:revision>10</cp:revision>
</cp:coreProperties>
</file>