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8FD6" w14:textId="77777777" w:rsidR="00061E86" w:rsidRPr="00531C66" w:rsidRDefault="00061E86" w:rsidP="007539C9">
      <w:pPr>
        <w:spacing w:line="276" w:lineRule="auto"/>
        <w:jc w:val="center"/>
        <w:rPr>
          <w:rFonts w:ascii="Arial" w:hAnsi="Arial" w:cs="Arial"/>
          <w:b/>
          <w:caps/>
          <w:noProof/>
          <w:sz w:val="22"/>
          <w:lang w:val="mn-MN"/>
        </w:rPr>
      </w:pPr>
      <w:r w:rsidRPr="00531C66">
        <w:rPr>
          <w:rFonts w:ascii="Arial" w:hAnsi="Arial" w:cs="Arial"/>
          <w:b/>
          <w:caps/>
          <w:noProof/>
          <w:sz w:val="22"/>
          <w:lang w:val="mn-MN"/>
        </w:rPr>
        <w:t>Танилцуулга</w:t>
      </w:r>
    </w:p>
    <w:p w14:paraId="30C0E999" w14:textId="77777777" w:rsidR="007539C9" w:rsidRPr="00531C66" w:rsidRDefault="007539C9" w:rsidP="007539C9">
      <w:pPr>
        <w:spacing w:line="276" w:lineRule="auto"/>
        <w:jc w:val="center"/>
        <w:rPr>
          <w:rFonts w:ascii="Arial" w:hAnsi="Arial" w:cs="Arial"/>
          <w:b/>
          <w:caps/>
          <w:noProof/>
          <w:sz w:val="22"/>
          <w:lang w:val="mn-MN"/>
        </w:rPr>
      </w:pPr>
    </w:p>
    <w:p w14:paraId="73CE58F0" w14:textId="77777777" w:rsidR="00061E86" w:rsidRPr="00531C66" w:rsidRDefault="00061E86" w:rsidP="00A80717">
      <w:pPr>
        <w:spacing w:line="276" w:lineRule="auto"/>
        <w:ind w:left="5103"/>
        <w:jc w:val="center"/>
        <w:rPr>
          <w:rFonts w:ascii="Arial" w:hAnsi="Arial" w:cs="Arial"/>
          <w:sz w:val="22"/>
          <w:lang w:val="mn-MN"/>
        </w:rPr>
      </w:pPr>
      <w:r w:rsidRPr="00531C66">
        <w:rPr>
          <w:rFonts w:ascii="Arial" w:hAnsi="Arial" w:cs="Arial"/>
          <w:sz w:val="22"/>
          <w:lang w:val="mn-MN"/>
        </w:rPr>
        <w:t>Санхүүжилтийн ерөнхий</w:t>
      </w:r>
      <w:r w:rsidR="00A80717" w:rsidRPr="00531C66">
        <w:rPr>
          <w:rFonts w:ascii="Arial" w:hAnsi="Arial" w:cs="Arial"/>
          <w:sz w:val="22"/>
          <w:lang w:val="mn-MN"/>
        </w:rPr>
        <w:t xml:space="preserve"> </w:t>
      </w:r>
      <w:r w:rsidRPr="00531C66">
        <w:rPr>
          <w:rFonts w:ascii="Arial" w:hAnsi="Arial" w:cs="Arial"/>
          <w:sz w:val="22"/>
          <w:lang w:val="mn-MN"/>
        </w:rPr>
        <w:t>хөтөлбөрийн тухай</w:t>
      </w:r>
    </w:p>
    <w:p w14:paraId="4E36DE88" w14:textId="77777777" w:rsidR="007539C9" w:rsidRPr="00531C66" w:rsidRDefault="007539C9" w:rsidP="007539C9">
      <w:pPr>
        <w:spacing w:line="276" w:lineRule="auto"/>
        <w:ind w:left="5760" w:firstLine="720"/>
        <w:rPr>
          <w:rFonts w:ascii="Arial" w:hAnsi="Arial" w:cs="Arial"/>
          <w:sz w:val="22"/>
          <w:lang w:val="mn-MN"/>
        </w:rPr>
      </w:pPr>
    </w:p>
    <w:p w14:paraId="2A03DE40" w14:textId="77777777" w:rsidR="00A80717" w:rsidRPr="00531C66" w:rsidRDefault="00A80717" w:rsidP="007539C9">
      <w:pPr>
        <w:spacing w:line="276" w:lineRule="auto"/>
        <w:ind w:firstLine="720"/>
        <w:jc w:val="both"/>
        <w:textAlignment w:val="baseline"/>
        <w:rPr>
          <w:rFonts w:ascii="Arial" w:hAnsi="Arial" w:cs="Arial"/>
          <w:noProof/>
          <w:color w:val="000000"/>
          <w:sz w:val="22"/>
          <w:lang w:val="mn-MN"/>
        </w:rPr>
      </w:pPr>
      <w:r w:rsidRPr="00531C66">
        <w:rPr>
          <w:rFonts w:ascii="Arial" w:hAnsi="Arial" w:cs="Arial"/>
          <w:noProof/>
          <w:color w:val="000000"/>
          <w:sz w:val="22"/>
          <w:lang w:val="mn-MN"/>
        </w:rPr>
        <w:t xml:space="preserve">Монгол Улсын Засгийн газар, Азийн хөгжлийн банк (АХБ)-тай 2017-2020 онд хамтран ажиллах стратегийг тохирч, санхүү, хөдөө аж ахуй, </w:t>
      </w:r>
      <w:r w:rsidR="00D70463">
        <w:rPr>
          <w:rFonts w:ascii="Arial" w:hAnsi="Arial" w:cs="Arial"/>
          <w:noProof/>
          <w:color w:val="000000"/>
          <w:sz w:val="22"/>
          <w:lang w:val="mn-MN"/>
        </w:rPr>
        <w:t>боловсрол, эрүүл мэнд,</w:t>
      </w:r>
      <w:r w:rsidRPr="00531C66">
        <w:rPr>
          <w:rFonts w:ascii="Arial" w:hAnsi="Arial" w:cs="Arial"/>
          <w:noProof/>
          <w:color w:val="000000"/>
          <w:sz w:val="22"/>
          <w:lang w:val="mn-MN"/>
        </w:rPr>
        <w:t xml:space="preserve"> хөдөлмөр эрхлэлт, байгаль орчны хамгаалал, нийгмийн салбаруудад хамтран ажиллахаар харилцан тохиролцсон билээ.</w:t>
      </w:r>
    </w:p>
    <w:p w14:paraId="717204BB" w14:textId="77777777" w:rsidR="00A80717" w:rsidRPr="00531C66" w:rsidRDefault="00A80717" w:rsidP="007539C9">
      <w:pPr>
        <w:spacing w:line="276" w:lineRule="auto"/>
        <w:ind w:firstLine="720"/>
        <w:jc w:val="both"/>
        <w:textAlignment w:val="baseline"/>
        <w:rPr>
          <w:rFonts w:ascii="Arial" w:hAnsi="Arial" w:cs="Arial"/>
          <w:noProof/>
          <w:color w:val="000000"/>
          <w:sz w:val="22"/>
          <w:lang w:val="mn-MN"/>
        </w:rPr>
      </w:pPr>
    </w:p>
    <w:p w14:paraId="3E2C5EB6" w14:textId="77777777" w:rsidR="00D612C2" w:rsidRPr="00531C66" w:rsidRDefault="00D612C2" w:rsidP="00FB272E">
      <w:pPr>
        <w:pStyle w:val="BodyText"/>
        <w:spacing w:after="0"/>
        <w:ind w:firstLine="720"/>
        <w:jc w:val="both"/>
        <w:rPr>
          <w:rFonts w:ascii="Arial" w:hAnsi="Arial" w:cs="Arial"/>
          <w:szCs w:val="24"/>
          <w:lang w:val="mn-MN"/>
        </w:rPr>
      </w:pPr>
      <w:r w:rsidRPr="00531C66">
        <w:rPr>
          <w:rFonts w:ascii="Arial" w:hAnsi="Arial" w:cs="Arial"/>
          <w:szCs w:val="24"/>
          <w:lang w:val="mn-MN"/>
        </w:rPr>
        <w:t xml:space="preserve">Дээрх салбаруудын хүрээнд АХБ-аас 2017-2018 онд Монгол Улсад 468 сая ам.долларын санхүүжилтийн эх үүсвэрийг хуваарилсан </w:t>
      </w:r>
      <w:r w:rsidR="00FB272E" w:rsidRPr="00531C66">
        <w:rPr>
          <w:rFonts w:ascii="Arial" w:hAnsi="Arial" w:cs="Arial"/>
          <w:szCs w:val="24"/>
          <w:lang w:val="mn-MN"/>
        </w:rPr>
        <w:t xml:space="preserve">бөгөөд үүнээс АХБ-ны Энгийн эх үүсвэрээс </w:t>
      </w:r>
      <w:r w:rsidR="00D56309" w:rsidRPr="00531C66">
        <w:rPr>
          <w:rFonts w:ascii="Arial" w:hAnsi="Arial" w:cs="Arial"/>
          <w:szCs w:val="24"/>
          <w:lang w:val="mn-MN"/>
        </w:rPr>
        <w:t>404</w:t>
      </w:r>
      <w:r w:rsidRPr="00531C66">
        <w:rPr>
          <w:rFonts w:ascii="Arial" w:hAnsi="Arial" w:cs="Arial"/>
          <w:szCs w:val="24"/>
          <w:lang w:val="mn-MN"/>
        </w:rPr>
        <w:t xml:space="preserve"> сая ам.долларын, АХБ-ны </w:t>
      </w:r>
      <w:r w:rsidR="00D56309" w:rsidRPr="00531C66">
        <w:rPr>
          <w:rFonts w:ascii="Arial" w:hAnsi="Arial" w:cs="Arial"/>
          <w:szCs w:val="24"/>
          <w:lang w:val="mn-MN"/>
        </w:rPr>
        <w:t xml:space="preserve">Хөнгөлөлттэй </w:t>
      </w:r>
      <w:r w:rsidRPr="00531C66">
        <w:rPr>
          <w:rFonts w:ascii="Arial" w:hAnsi="Arial" w:cs="Arial"/>
          <w:szCs w:val="24"/>
          <w:lang w:val="mn-MN"/>
        </w:rPr>
        <w:t xml:space="preserve">энгийн эх үүсвэрээс </w:t>
      </w:r>
      <w:r w:rsidR="00D56309" w:rsidRPr="00531C66">
        <w:rPr>
          <w:rFonts w:ascii="Arial" w:hAnsi="Arial" w:cs="Arial"/>
          <w:szCs w:val="24"/>
          <w:lang w:val="mn-MN"/>
        </w:rPr>
        <w:t xml:space="preserve">64 </w:t>
      </w:r>
      <w:r w:rsidRPr="00531C66">
        <w:rPr>
          <w:rFonts w:ascii="Arial" w:hAnsi="Arial" w:cs="Arial"/>
          <w:szCs w:val="24"/>
          <w:lang w:val="mn-MN"/>
        </w:rPr>
        <w:t xml:space="preserve">сая ам.долларын зээлийн санхүүжилт олгохоор төлөвлөөд байна. </w:t>
      </w:r>
    </w:p>
    <w:p w14:paraId="473A51CB" w14:textId="77777777" w:rsidR="00D612C2" w:rsidRPr="00531C66" w:rsidRDefault="00D612C2" w:rsidP="007539C9">
      <w:pPr>
        <w:spacing w:line="276" w:lineRule="auto"/>
        <w:ind w:firstLine="720"/>
        <w:jc w:val="both"/>
        <w:textAlignment w:val="baseline"/>
        <w:rPr>
          <w:rFonts w:ascii="Arial" w:hAnsi="Arial" w:cs="Arial"/>
          <w:noProof/>
          <w:color w:val="000000"/>
          <w:sz w:val="22"/>
          <w:lang w:val="mn-MN"/>
        </w:rPr>
      </w:pPr>
    </w:p>
    <w:p w14:paraId="2360C53F" w14:textId="77777777" w:rsidR="00D56309" w:rsidRPr="00531C66" w:rsidRDefault="00D56309" w:rsidP="00D56309">
      <w:pPr>
        <w:pStyle w:val="BodyText"/>
        <w:spacing w:after="0"/>
        <w:ind w:firstLine="720"/>
        <w:jc w:val="both"/>
        <w:rPr>
          <w:rFonts w:ascii="Arial" w:hAnsi="Arial" w:cs="Arial"/>
          <w:szCs w:val="24"/>
          <w:lang w:val="mn-MN"/>
        </w:rPr>
      </w:pPr>
      <w:r w:rsidRPr="00531C66">
        <w:rPr>
          <w:rFonts w:ascii="Arial" w:hAnsi="Arial" w:cs="Arial"/>
          <w:szCs w:val="24"/>
          <w:lang w:val="mn-MN"/>
        </w:rPr>
        <w:t>Хөнгөлөлттэй энгийн эх үүсвэрийн зээл нь АХБ-ны хөнгөлөлттэй нөхцөлтэй зээл бөгөөд 2%-ийн хүүтэй, 25 жилийн хугацаатай, эхний 5 жилд үндсэн төлбөрөөс чөлөөлөгдөх зээлийн нөхцөлтэй байдаг. Харин энгийн эх үүсвэр</w:t>
      </w:r>
      <w:r w:rsidRPr="00531C66">
        <w:rPr>
          <w:rStyle w:val="FootnoteReference"/>
          <w:rFonts w:ascii="Arial" w:hAnsi="Arial" w:cs="Arial"/>
          <w:szCs w:val="24"/>
          <w:lang w:val="mn-MN"/>
        </w:rPr>
        <w:footnoteReference w:id="1"/>
      </w:r>
      <w:r w:rsidRPr="00531C66">
        <w:rPr>
          <w:rFonts w:ascii="Arial" w:hAnsi="Arial" w:cs="Arial"/>
          <w:szCs w:val="24"/>
          <w:lang w:val="mn-MN"/>
        </w:rPr>
        <w:t xml:space="preserve">ийн зээлийн дундаж хугацаа нь 20 жил хүртэл байдаг ба Лондонгийн банк хоорондын хүү дээр нэмэх нь 0.5%-ийн шимтгэлтэй байдаг. </w:t>
      </w:r>
      <w:bookmarkStart w:id="0" w:name="_GoBack"/>
      <w:bookmarkEnd w:id="0"/>
    </w:p>
    <w:p w14:paraId="527BB5F6" w14:textId="77777777" w:rsidR="00D56309" w:rsidRPr="00531C66" w:rsidRDefault="00D56309" w:rsidP="00D56309">
      <w:pPr>
        <w:pStyle w:val="BodyText"/>
        <w:spacing w:after="0"/>
        <w:ind w:firstLine="720"/>
        <w:jc w:val="both"/>
        <w:rPr>
          <w:rFonts w:ascii="Arial" w:hAnsi="Arial" w:cs="Arial"/>
          <w:szCs w:val="24"/>
          <w:lang w:val="mn-MN"/>
        </w:rPr>
      </w:pPr>
    </w:p>
    <w:p w14:paraId="6F00816B" w14:textId="77777777" w:rsidR="00D56309" w:rsidRPr="00531C66" w:rsidRDefault="00D56309" w:rsidP="00D56309">
      <w:pPr>
        <w:pStyle w:val="BodyText"/>
        <w:spacing w:after="0"/>
        <w:ind w:firstLine="720"/>
        <w:jc w:val="both"/>
        <w:rPr>
          <w:rFonts w:ascii="Arial" w:hAnsi="Arial" w:cs="Arial"/>
          <w:szCs w:val="24"/>
          <w:lang w:val="mn-MN"/>
        </w:rPr>
      </w:pPr>
      <w:r w:rsidRPr="00531C66">
        <w:rPr>
          <w:rFonts w:ascii="Arial" w:hAnsi="Arial" w:cs="Arial"/>
          <w:szCs w:val="24"/>
          <w:lang w:val="mn-MN"/>
        </w:rPr>
        <w:t xml:space="preserve">Монгол Улсад хуваарилагдсан зээлийн санхүүжилтээр хэрэгжүүлэх төслүүдийг тодорхойлохдоо эдийн засгийг төрөлжүүлэх, бизнесийн орчинг сайжруулах, нийгмийн хамгааллын салбарын тогтвортой байдлыг хангах, ажлын байр бий болгох зэрэг үндсэн чиглэлийг баримталж, дараах төслүүдийг боловсруулаад байна. Үүнд: </w:t>
      </w:r>
    </w:p>
    <w:p w14:paraId="0171EB06" w14:textId="77777777" w:rsidR="00531C66" w:rsidRDefault="00531C66" w:rsidP="00D56309">
      <w:pPr>
        <w:pStyle w:val="BodyText"/>
        <w:spacing w:after="0"/>
        <w:ind w:firstLine="720"/>
        <w:jc w:val="both"/>
        <w:rPr>
          <w:rFonts w:ascii="Arial" w:hAnsi="Arial" w:cs="Arial"/>
          <w:sz w:val="24"/>
          <w:szCs w:val="24"/>
          <w:lang w:val="mn-MN"/>
        </w:rPr>
      </w:pPr>
    </w:p>
    <w:tbl>
      <w:tblPr>
        <w:tblStyle w:val="TableGrid"/>
        <w:tblW w:w="10490" w:type="dxa"/>
        <w:tblInd w:w="-601" w:type="dxa"/>
        <w:tblLayout w:type="fixed"/>
        <w:tblLook w:val="04A0" w:firstRow="1" w:lastRow="0" w:firstColumn="1" w:lastColumn="0" w:noHBand="0" w:noVBand="1"/>
      </w:tblPr>
      <w:tblGrid>
        <w:gridCol w:w="425"/>
        <w:gridCol w:w="5387"/>
        <w:gridCol w:w="1560"/>
        <w:gridCol w:w="1559"/>
        <w:gridCol w:w="1559"/>
      </w:tblGrid>
      <w:tr w:rsidR="00D56309" w:rsidRPr="00D70463" w14:paraId="44C2D470" w14:textId="77777777" w:rsidTr="00D56309">
        <w:tc>
          <w:tcPr>
            <w:tcW w:w="425" w:type="dxa"/>
            <w:vAlign w:val="center"/>
          </w:tcPr>
          <w:p w14:paraId="0A51F01E" w14:textId="77777777" w:rsidR="00D56309" w:rsidRPr="00531C66" w:rsidRDefault="00D56309" w:rsidP="00365BD2">
            <w:pPr>
              <w:pStyle w:val="BodyText"/>
              <w:spacing w:after="0"/>
              <w:jc w:val="center"/>
              <w:rPr>
                <w:rFonts w:ascii="Arial" w:hAnsi="Arial" w:cs="Arial"/>
                <w:b/>
                <w:sz w:val="21"/>
                <w:szCs w:val="21"/>
                <w:lang w:val="mn-MN"/>
              </w:rPr>
            </w:pPr>
            <w:r w:rsidRPr="00531C66">
              <w:rPr>
                <w:rFonts w:ascii="Arial" w:hAnsi="Arial" w:cs="Arial"/>
                <w:b/>
                <w:sz w:val="21"/>
                <w:szCs w:val="21"/>
                <w:lang w:val="mn-MN"/>
              </w:rPr>
              <w:t>№</w:t>
            </w:r>
          </w:p>
        </w:tc>
        <w:tc>
          <w:tcPr>
            <w:tcW w:w="5387" w:type="dxa"/>
            <w:vAlign w:val="center"/>
          </w:tcPr>
          <w:p w14:paraId="04756574" w14:textId="77777777" w:rsidR="00D56309" w:rsidRPr="00531C66" w:rsidRDefault="00D56309" w:rsidP="00365BD2">
            <w:pPr>
              <w:pStyle w:val="BodyText"/>
              <w:spacing w:after="0"/>
              <w:jc w:val="center"/>
              <w:rPr>
                <w:rFonts w:ascii="Arial" w:hAnsi="Arial" w:cs="Arial"/>
                <w:b/>
                <w:sz w:val="21"/>
                <w:szCs w:val="21"/>
                <w:lang w:val="mn-MN"/>
              </w:rPr>
            </w:pPr>
            <w:r w:rsidRPr="00531C66">
              <w:rPr>
                <w:rFonts w:ascii="Arial" w:hAnsi="Arial" w:cs="Arial"/>
                <w:b/>
                <w:sz w:val="21"/>
                <w:szCs w:val="21"/>
                <w:lang w:val="mn-MN"/>
              </w:rPr>
              <w:t>Төслийн нэр</w:t>
            </w:r>
          </w:p>
        </w:tc>
        <w:tc>
          <w:tcPr>
            <w:tcW w:w="1560" w:type="dxa"/>
            <w:vAlign w:val="center"/>
          </w:tcPr>
          <w:p w14:paraId="26C1B4BF" w14:textId="77777777" w:rsidR="00D56309" w:rsidRPr="00531C66" w:rsidRDefault="00D56309" w:rsidP="00365BD2">
            <w:pPr>
              <w:pStyle w:val="BodyText"/>
              <w:spacing w:after="0"/>
              <w:jc w:val="center"/>
              <w:rPr>
                <w:rFonts w:ascii="Arial" w:hAnsi="Arial" w:cs="Arial"/>
                <w:b/>
                <w:sz w:val="21"/>
                <w:szCs w:val="21"/>
              </w:rPr>
            </w:pPr>
            <w:r w:rsidRPr="00531C66">
              <w:rPr>
                <w:rFonts w:ascii="Arial" w:hAnsi="Arial" w:cs="Arial"/>
                <w:b/>
                <w:sz w:val="21"/>
                <w:szCs w:val="21"/>
                <w:lang w:val="mn-MN"/>
              </w:rPr>
              <w:t xml:space="preserve">Санхүүжил-тийн хэмжээ </w:t>
            </w:r>
          </w:p>
        </w:tc>
        <w:tc>
          <w:tcPr>
            <w:tcW w:w="1559" w:type="dxa"/>
            <w:vAlign w:val="center"/>
          </w:tcPr>
          <w:p w14:paraId="703FDBE9" w14:textId="77777777" w:rsidR="00D56309" w:rsidRPr="00531C66" w:rsidRDefault="00D56309" w:rsidP="00365BD2">
            <w:pPr>
              <w:pStyle w:val="BodyText"/>
              <w:spacing w:after="0"/>
              <w:jc w:val="center"/>
              <w:rPr>
                <w:rFonts w:ascii="Arial" w:hAnsi="Arial" w:cs="Arial"/>
                <w:b/>
                <w:sz w:val="21"/>
                <w:szCs w:val="21"/>
                <w:lang w:val="mn-MN"/>
              </w:rPr>
            </w:pPr>
            <w:r w:rsidRPr="00531C66">
              <w:rPr>
                <w:rFonts w:ascii="Arial" w:hAnsi="Arial" w:cs="Arial"/>
                <w:b/>
                <w:sz w:val="21"/>
                <w:szCs w:val="21"/>
                <w:lang w:val="mn-MN"/>
              </w:rPr>
              <w:t>Энгийн эх үүсвэр</w:t>
            </w:r>
          </w:p>
        </w:tc>
        <w:tc>
          <w:tcPr>
            <w:tcW w:w="1559" w:type="dxa"/>
            <w:vAlign w:val="center"/>
          </w:tcPr>
          <w:p w14:paraId="5CE47E01" w14:textId="77777777" w:rsidR="00D56309" w:rsidRPr="00531C66" w:rsidRDefault="00D56309" w:rsidP="00365BD2">
            <w:pPr>
              <w:pStyle w:val="BodyText"/>
              <w:spacing w:after="0"/>
              <w:jc w:val="center"/>
              <w:rPr>
                <w:rFonts w:ascii="Arial" w:hAnsi="Arial" w:cs="Arial"/>
                <w:b/>
                <w:sz w:val="21"/>
                <w:szCs w:val="21"/>
                <w:lang w:val="mn-MN"/>
              </w:rPr>
            </w:pPr>
            <w:r w:rsidRPr="00531C66">
              <w:rPr>
                <w:rFonts w:ascii="Arial" w:hAnsi="Arial" w:cs="Arial"/>
                <w:b/>
                <w:sz w:val="21"/>
                <w:szCs w:val="21"/>
                <w:lang w:val="mn-MN"/>
              </w:rPr>
              <w:t xml:space="preserve">Хөнгөлөлт-тэй энгийн эх үүсвэр </w:t>
            </w:r>
          </w:p>
        </w:tc>
      </w:tr>
      <w:tr w:rsidR="00D56309" w:rsidRPr="00531C66" w14:paraId="38311795" w14:textId="77777777" w:rsidTr="00D56309">
        <w:trPr>
          <w:trHeight w:val="50"/>
        </w:trPr>
        <w:tc>
          <w:tcPr>
            <w:tcW w:w="5812" w:type="dxa"/>
            <w:gridSpan w:val="2"/>
          </w:tcPr>
          <w:p w14:paraId="015CB1FF" w14:textId="77777777" w:rsidR="00D56309" w:rsidRPr="00531C66" w:rsidRDefault="00D56309" w:rsidP="00531C66">
            <w:pPr>
              <w:pStyle w:val="BodyText"/>
              <w:spacing w:after="0"/>
              <w:rPr>
                <w:rFonts w:ascii="Arial" w:hAnsi="Arial" w:cs="Arial"/>
                <w:b/>
                <w:sz w:val="21"/>
                <w:szCs w:val="21"/>
                <w:lang w:val="mn-MN"/>
              </w:rPr>
            </w:pPr>
            <w:r w:rsidRPr="00531C66">
              <w:rPr>
                <w:rFonts w:ascii="Arial" w:hAnsi="Arial" w:cs="Arial"/>
                <w:b/>
                <w:sz w:val="21"/>
                <w:szCs w:val="21"/>
                <w:lang w:val="mn-MN"/>
              </w:rPr>
              <w:t>Хуваарилагдсан  зээлийн хөрөнгө</w:t>
            </w:r>
          </w:p>
        </w:tc>
        <w:tc>
          <w:tcPr>
            <w:tcW w:w="1560" w:type="dxa"/>
          </w:tcPr>
          <w:p w14:paraId="5C2526ED" w14:textId="77777777" w:rsidR="00D56309" w:rsidRPr="00531C66" w:rsidRDefault="00D56309" w:rsidP="00365BD2">
            <w:pPr>
              <w:pStyle w:val="BodyText"/>
              <w:spacing w:after="0"/>
              <w:jc w:val="center"/>
              <w:rPr>
                <w:rFonts w:ascii="Arial" w:hAnsi="Arial" w:cs="Arial"/>
                <w:b/>
                <w:sz w:val="21"/>
                <w:szCs w:val="21"/>
                <w:lang w:val="mn-MN"/>
              </w:rPr>
            </w:pPr>
          </w:p>
        </w:tc>
        <w:tc>
          <w:tcPr>
            <w:tcW w:w="1559" w:type="dxa"/>
          </w:tcPr>
          <w:p w14:paraId="18534125" w14:textId="77777777" w:rsidR="00D56309" w:rsidRPr="00531C66" w:rsidRDefault="00D56309" w:rsidP="00365BD2">
            <w:pPr>
              <w:pStyle w:val="BodyText"/>
              <w:spacing w:after="0"/>
              <w:jc w:val="center"/>
              <w:rPr>
                <w:rFonts w:ascii="Arial" w:hAnsi="Arial" w:cs="Arial"/>
                <w:b/>
                <w:sz w:val="21"/>
                <w:szCs w:val="21"/>
                <w:lang w:val="mn-MN"/>
              </w:rPr>
            </w:pPr>
          </w:p>
        </w:tc>
        <w:tc>
          <w:tcPr>
            <w:tcW w:w="1559" w:type="dxa"/>
          </w:tcPr>
          <w:p w14:paraId="4CF6EEB9" w14:textId="77777777" w:rsidR="00D56309" w:rsidRPr="00531C66" w:rsidRDefault="00D56309" w:rsidP="00365BD2">
            <w:pPr>
              <w:pStyle w:val="BodyText"/>
              <w:spacing w:after="0"/>
              <w:jc w:val="center"/>
              <w:rPr>
                <w:rFonts w:ascii="Arial" w:hAnsi="Arial" w:cs="Arial"/>
                <w:b/>
                <w:sz w:val="21"/>
                <w:szCs w:val="21"/>
                <w:lang w:val="mn-MN"/>
              </w:rPr>
            </w:pPr>
          </w:p>
        </w:tc>
      </w:tr>
      <w:tr w:rsidR="00D56309" w:rsidRPr="00531C66" w14:paraId="08EC4863" w14:textId="77777777" w:rsidTr="00D56309">
        <w:tc>
          <w:tcPr>
            <w:tcW w:w="425" w:type="dxa"/>
          </w:tcPr>
          <w:p w14:paraId="4E6289F1" w14:textId="77777777" w:rsidR="00D56309" w:rsidRPr="00531C66" w:rsidRDefault="00D56309" w:rsidP="00365BD2">
            <w:pPr>
              <w:pStyle w:val="BodyText"/>
              <w:spacing w:after="0"/>
              <w:jc w:val="both"/>
              <w:rPr>
                <w:rFonts w:ascii="Arial" w:hAnsi="Arial" w:cs="Arial"/>
                <w:sz w:val="21"/>
                <w:szCs w:val="21"/>
              </w:rPr>
            </w:pPr>
            <w:r w:rsidRPr="00531C66">
              <w:rPr>
                <w:rFonts w:ascii="Arial" w:hAnsi="Arial" w:cs="Arial"/>
                <w:sz w:val="21"/>
                <w:szCs w:val="21"/>
              </w:rPr>
              <w:t>1</w:t>
            </w:r>
          </w:p>
        </w:tc>
        <w:tc>
          <w:tcPr>
            <w:tcW w:w="5387" w:type="dxa"/>
          </w:tcPr>
          <w:p w14:paraId="3552C216" w14:textId="77777777" w:rsidR="00D56309" w:rsidRPr="00531C66" w:rsidRDefault="00D56309" w:rsidP="00D56309">
            <w:pPr>
              <w:pStyle w:val="BodyText"/>
              <w:spacing w:after="0"/>
              <w:jc w:val="both"/>
              <w:rPr>
                <w:rFonts w:ascii="Arial" w:hAnsi="Arial" w:cs="Arial"/>
                <w:sz w:val="21"/>
                <w:szCs w:val="21"/>
                <w:lang w:val="mn-MN"/>
              </w:rPr>
            </w:pPr>
            <w:r w:rsidRPr="00531C66">
              <w:rPr>
                <w:rFonts w:ascii="Arial" w:hAnsi="Arial" w:cs="Arial"/>
                <w:sz w:val="21"/>
                <w:szCs w:val="21"/>
                <w:lang w:val="mn-MN"/>
              </w:rPr>
              <w:t>Эдийн засгийн хүндрэлийн үед боловсролын чанар ба хүртээмжийг дэмжих төсөл</w:t>
            </w:r>
          </w:p>
        </w:tc>
        <w:tc>
          <w:tcPr>
            <w:tcW w:w="1560" w:type="dxa"/>
          </w:tcPr>
          <w:p w14:paraId="42EC902C" w14:textId="77777777" w:rsidR="00D56309" w:rsidRPr="00531C66" w:rsidRDefault="00D56309" w:rsidP="00365BD2">
            <w:pPr>
              <w:pStyle w:val="BodyText"/>
              <w:spacing w:after="0"/>
              <w:jc w:val="center"/>
              <w:rPr>
                <w:rFonts w:ascii="Arial" w:hAnsi="Arial" w:cs="Arial"/>
                <w:sz w:val="21"/>
                <w:szCs w:val="21"/>
              </w:rPr>
            </w:pPr>
            <w:r w:rsidRPr="00531C66">
              <w:rPr>
                <w:rFonts w:ascii="Arial" w:hAnsi="Arial" w:cs="Arial"/>
                <w:sz w:val="21"/>
                <w:szCs w:val="21"/>
                <w:lang w:val="mn-MN"/>
              </w:rPr>
              <w:t>50</w:t>
            </w:r>
            <w:r w:rsidR="00531C66" w:rsidRPr="00531C66">
              <w:rPr>
                <w:rFonts w:ascii="Arial" w:hAnsi="Arial" w:cs="Arial"/>
                <w:sz w:val="21"/>
                <w:szCs w:val="21"/>
              </w:rPr>
              <w:t>.0</w:t>
            </w:r>
          </w:p>
        </w:tc>
        <w:tc>
          <w:tcPr>
            <w:tcW w:w="1559" w:type="dxa"/>
          </w:tcPr>
          <w:p w14:paraId="0863BB15" w14:textId="77777777" w:rsidR="00D56309" w:rsidRPr="00531C66" w:rsidRDefault="00D56309" w:rsidP="00531C66">
            <w:pPr>
              <w:pStyle w:val="BodyText"/>
              <w:spacing w:after="0"/>
              <w:jc w:val="both"/>
              <w:rPr>
                <w:rFonts w:ascii="Arial" w:hAnsi="Arial" w:cs="Arial"/>
                <w:sz w:val="21"/>
                <w:szCs w:val="21"/>
              </w:rPr>
            </w:pPr>
            <w:r w:rsidRPr="00531C66">
              <w:rPr>
                <w:rFonts w:ascii="Arial" w:hAnsi="Arial" w:cs="Arial"/>
                <w:sz w:val="21"/>
                <w:szCs w:val="21"/>
              </w:rPr>
              <w:t>5</w:t>
            </w:r>
            <w:r w:rsidR="00531C66" w:rsidRPr="00531C66">
              <w:rPr>
                <w:rFonts w:ascii="Arial" w:hAnsi="Arial" w:cs="Arial"/>
                <w:sz w:val="21"/>
                <w:szCs w:val="21"/>
                <w:lang w:val="mn-MN"/>
              </w:rPr>
              <w:t>0</w:t>
            </w:r>
            <w:r w:rsidR="00531C66" w:rsidRPr="00531C66">
              <w:rPr>
                <w:rFonts w:ascii="Arial" w:hAnsi="Arial" w:cs="Arial"/>
                <w:sz w:val="21"/>
                <w:szCs w:val="21"/>
              </w:rPr>
              <w:t>.0</w:t>
            </w:r>
          </w:p>
        </w:tc>
        <w:tc>
          <w:tcPr>
            <w:tcW w:w="1559" w:type="dxa"/>
          </w:tcPr>
          <w:p w14:paraId="750CD8F6" w14:textId="77777777" w:rsidR="00D56309" w:rsidRPr="00531C66" w:rsidRDefault="00D56309" w:rsidP="00365BD2">
            <w:pPr>
              <w:pStyle w:val="BodyText"/>
              <w:spacing w:after="0"/>
              <w:jc w:val="both"/>
              <w:rPr>
                <w:rFonts w:ascii="Arial" w:hAnsi="Arial" w:cs="Arial"/>
                <w:sz w:val="21"/>
                <w:szCs w:val="21"/>
              </w:rPr>
            </w:pPr>
          </w:p>
        </w:tc>
      </w:tr>
      <w:tr w:rsidR="00D56309" w:rsidRPr="00531C66" w14:paraId="0E02CBA2" w14:textId="77777777" w:rsidTr="00D56309">
        <w:tc>
          <w:tcPr>
            <w:tcW w:w="425" w:type="dxa"/>
          </w:tcPr>
          <w:p w14:paraId="6BA1AA8B" w14:textId="77777777" w:rsidR="00D56309" w:rsidRPr="00531C66" w:rsidRDefault="00D56309" w:rsidP="00365BD2">
            <w:pPr>
              <w:pStyle w:val="BodyText"/>
              <w:spacing w:after="0"/>
              <w:jc w:val="both"/>
              <w:rPr>
                <w:rFonts w:ascii="Arial" w:hAnsi="Arial" w:cs="Arial"/>
                <w:sz w:val="21"/>
                <w:szCs w:val="21"/>
              </w:rPr>
            </w:pPr>
            <w:r w:rsidRPr="00531C66">
              <w:rPr>
                <w:rFonts w:ascii="Arial" w:hAnsi="Arial" w:cs="Arial"/>
                <w:sz w:val="21"/>
                <w:szCs w:val="21"/>
              </w:rPr>
              <w:t>2</w:t>
            </w:r>
          </w:p>
        </w:tc>
        <w:tc>
          <w:tcPr>
            <w:tcW w:w="5387" w:type="dxa"/>
          </w:tcPr>
          <w:p w14:paraId="3418999F"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Хөгжлийн бэрхшээлтэй иргэдэд хүрэх үйлчилгээг сайжруулж, оролцоог нэмэгдүүлэх төсөл</w:t>
            </w:r>
          </w:p>
        </w:tc>
        <w:tc>
          <w:tcPr>
            <w:tcW w:w="1560" w:type="dxa"/>
          </w:tcPr>
          <w:p w14:paraId="2ECA3DCF" w14:textId="77777777" w:rsidR="00D56309" w:rsidRPr="00531C66" w:rsidRDefault="00D56309" w:rsidP="00365BD2">
            <w:pPr>
              <w:pStyle w:val="BodyText"/>
              <w:spacing w:after="0"/>
              <w:jc w:val="center"/>
              <w:rPr>
                <w:rFonts w:ascii="Arial" w:hAnsi="Arial" w:cs="Arial"/>
                <w:sz w:val="21"/>
                <w:szCs w:val="21"/>
              </w:rPr>
            </w:pPr>
            <w:r w:rsidRPr="00531C66">
              <w:rPr>
                <w:rFonts w:ascii="Arial" w:hAnsi="Arial" w:cs="Arial"/>
                <w:sz w:val="21"/>
                <w:szCs w:val="21"/>
                <w:lang w:val="mn-MN"/>
              </w:rPr>
              <w:t>25</w:t>
            </w:r>
            <w:r w:rsidR="00531C66" w:rsidRPr="00531C66">
              <w:rPr>
                <w:rFonts w:ascii="Arial" w:hAnsi="Arial" w:cs="Arial"/>
                <w:sz w:val="21"/>
                <w:szCs w:val="21"/>
              </w:rPr>
              <w:t>.0</w:t>
            </w:r>
          </w:p>
        </w:tc>
        <w:tc>
          <w:tcPr>
            <w:tcW w:w="1559" w:type="dxa"/>
          </w:tcPr>
          <w:p w14:paraId="1FB1E7E5" w14:textId="77777777" w:rsidR="00D56309" w:rsidRPr="00531C66" w:rsidRDefault="00D56309" w:rsidP="00365BD2">
            <w:pPr>
              <w:pStyle w:val="BodyText"/>
              <w:spacing w:after="0"/>
              <w:jc w:val="both"/>
              <w:rPr>
                <w:rFonts w:ascii="Arial" w:hAnsi="Arial" w:cs="Arial"/>
                <w:sz w:val="21"/>
                <w:szCs w:val="21"/>
              </w:rPr>
            </w:pPr>
          </w:p>
        </w:tc>
        <w:tc>
          <w:tcPr>
            <w:tcW w:w="1559" w:type="dxa"/>
          </w:tcPr>
          <w:p w14:paraId="071A10CA"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25.</w:t>
            </w:r>
            <w:r w:rsidR="00531C66" w:rsidRPr="00531C66">
              <w:rPr>
                <w:rFonts w:ascii="Arial" w:hAnsi="Arial" w:cs="Arial"/>
                <w:sz w:val="21"/>
                <w:szCs w:val="21"/>
                <w:lang w:val="mn-MN"/>
              </w:rPr>
              <w:t>0</w:t>
            </w:r>
          </w:p>
        </w:tc>
      </w:tr>
      <w:tr w:rsidR="00D56309" w:rsidRPr="00531C66" w14:paraId="2FDD9556" w14:textId="77777777" w:rsidTr="00D56309">
        <w:tc>
          <w:tcPr>
            <w:tcW w:w="425" w:type="dxa"/>
          </w:tcPr>
          <w:p w14:paraId="1C4ACCD0" w14:textId="77777777" w:rsidR="00D56309" w:rsidRPr="00531C66" w:rsidRDefault="00D56309" w:rsidP="00365BD2">
            <w:pPr>
              <w:pStyle w:val="BodyText"/>
              <w:spacing w:after="0"/>
              <w:jc w:val="both"/>
              <w:rPr>
                <w:rFonts w:ascii="Arial" w:hAnsi="Arial" w:cs="Arial"/>
                <w:sz w:val="21"/>
                <w:szCs w:val="21"/>
              </w:rPr>
            </w:pPr>
            <w:r w:rsidRPr="00531C66">
              <w:rPr>
                <w:rFonts w:ascii="Arial" w:hAnsi="Arial" w:cs="Arial"/>
                <w:sz w:val="21"/>
                <w:szCs w:val="21"/>
              </w:rPr>
              <w:t>3</w:t>
            </w:r>
          </w:p>
        </w:tc>
        <w:tc>
          <w:tcPr>
            <w:tcW w:w="5387" w:type="dxa"/>
          </w:tcPr>
          <w:p w14:paraId="7C9FFB8F"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Бүс нутгийн замыг хөгжүүлэх, зам засварын төсөл</w:t>
            </w:r>
          </w:p>
        </w:tc>
        <w:tc>
          <w:tcPr>
            <w:tcW w:w="1560" w:type="dxa"/>
          </w:tcPr>
          <w:p w14:paraId="20829F67" w14:textId="77777777" w:rsidR="00D56309" w:rsidRPr="00531C66" w:rsidRDefault="00D56309" w:rsidP="00365BD2">
            <w:pPr>
              <w:pStyle w:val="BodyText"/>
              <w:spacing w:after="0"/>
              <w:jc w:val="center"/>
              <w:rPr>
                <w:rFonts w:ascii="Arial" w:hAnsi="Arial" w:cs="Arial"/>
                <w:sz w:val="21"/>
                <w:szCs w:val="21"/>
              </w:rPr>
            </w:pPr>
            <w:r w:rsidRPr="00531C66">
              <w:rPr>
                <w:rFonts w:ascii="Arial" w:hAnsi="Arial" w:cs="Arial"/>
                <w:sz w:val="21"/>
                <w:szCs w:val="21"/>
                <w:lang w:val="mn-MN"/>
              </w:rPr>
              <w:t>60</w:t>
            </w:r>
            <w:r w:rsidR="00531C66" w:rsidRPr="00531C66">
              <w:rPr>
                <w:rFonts w:ascii="Arial" w:hAnsi="Arial" w:cs="Arial"/>
                <w:sz w:val="21"/>
                <w:szCs w:val="21"/>
              </w:rPr>
              <w:t>.0</w:t>
            </w:r>
          </w:p>
        </w:tc>
        <w:tc>
          <w:tcPr>
            <w:tcW w:w="1559" w:type="dxa"/>
          </w:tcPr>
          <w:p w14:paraId="4E29EF09"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60.0</w:t>
            </w:r>
          </w:p>
        </w:tc>
        <w:tc>
          <w:tcPr>
            <w:tcW w:w="1559" w:type="dxa"/>
          </w:tcPr>
          <w:p w14:paraId="39C40416" w14:textId="77777777" w:rsidR="00D56309" w:rsidRPr="00531C66" w:rsidRDefault="00D56309" w:rsidP="00365BD2">
            <w:pPr>
              <w:pStyle w:val="BodyText"/>
              <w:spacing w:after="0"/>
              <w:jc w:val="both"/>
              <w:rPr>
                <w:rFonts w:ascii="Arial" w:hAnsi="Arial" w:cs="Arial"/>
                <w:sz w:val="21"/>
                <w:szCs w:val="21"/>
              </w:rPr>
            </w:pPr>
          </w:p>
        </w:tc>
      </w:tr>
      <w:tr w:rsidR="00531C66" w:rsidRPr="00531C66" w14:paraId="344014EE" w14:textId="77777777" w:rsidTr="00D56309">
        <w:tc>
          <w:tcPr>
            <w:tcW w:w="425" w:type="dxa"/>
          </w:tcPr>
          <w:p w14:paraId="62B6D9CF" w14:textId="77777777" w:rsidR="00531C66"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4</w:t>
            </w:r>
          </w:p>
        </w:tc>
        <w:tc>
          <w:tcPr>
            <w:tcW w:w="5387" w:type="dxa"/>
          </w:tcPr>
          <w:p w14:paraId="1BCEC4AD" w14:textId="77777777" w:rsidR="00531C66"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Зүүн өмнөд Говийн хот байгуулалт, хилийн ойролцоо суурин газруудын хөгжлийн төслийн нэмэлт санхүүжилт</w:t>
            </w:r>
          </w:p>
        </w:tc>
        <w:tc>
          <w:tcPr>
            <w:tcW w:w="1560" w:type="dxa"/>
          </w:tcPr>
          <w:p w14:paraId="665BD898" w14:textId="77777777" w:rsidR="00531C66" w:rsidRPr="00531C66" w:rsidRDefault="00531C66" w:rsidP="00365BD2">
            <w:pPr>
              <w:pStyle w:val="BodyText"/>
              <w:spacing w:after="0"/>
              <w:jc w:val="center"/>
              <w:rPr>
                <w:rFonts w:ascii="Arial" w:hAnsi="Arial" w:cs="Arial"/>
                <w:sz w:val="21"/>
                <w:szCs w:val="21"/>
                <w:lang w:val="mn-MN"/>
              </w:rPr>
            </w:pPr>
            <w:r w:rsidRPr="00531C66">
              <w:rPr>
                <w:rFonts w:ascii="Arial" w:hAnsi="Arial" w:cs="Arial"/>
                <w:sz w:val="21"/>
                <w:szCs w:val="21"/>
                <w:lang w:val="mn-MN"/>
              </w:rPr>
              <w:t>20.0</w:t>
            </w:r>
          </w:p>
        </w:tc>
        <w:tc>
          <w:tcPr>
            <w:tcW w:w="1559" w:type="dxa"/>
          </w:tcPr>
          <w:p w14:paraId="6C911E73" w14:textId="77777777" w:rsidR="00531C66"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20.0</w:t>
            </w:r>
          </w:p>
        </w:tc>
        <w:tc>
          <w:tcPr>
            <w:tcW w:w="1559" w:type="dxa"/>
          </w:tcPr>
          <w:p w14:paraId="164A1CD0" w14:textId="77777777" w:rsidR="00531C66" w:rsidRPr="00531C66" w:rsidRDefault="00531C66" w:rsidP="00365BD2">
            <w:pPr>
              <w:pStyle w:val="BodyText"/>
              <w:spacing w:after="0"/>
              <w:jc w:val="both"/>
              <w:rPr>
                <w:rFonts w:ascii="Arial" w:hAnsi="Arial" w:cs="Arial"/>
                <w:sz w:val="21"/>
                <w:szCs w:val="21"/>
              </w:rPr>
            </w:pPr>
          </w:p>
        </w:tc>
      </w:tr>
      <w:tr w:rsidR="00D56309" w:rsidRPr="00531C66" w14:paraId="79F1509B" w14:textId="77777777" w:rsidTr="00D56309">
        <w:tc>
          <w:tcPr>
            <w:tcW w:w="425" w:type="dxa"/>
          </w:tcPr>
          <w:p w14:paraId="196FBF3C"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5</w:t>
            </w:r>
          </w:p>
        </w:tc>
        <w:tc>
          <w:tcPr>
            <w:tcW w:w="5387" w:type="dxa"/>
          </w:tcPr>
          <w:p w14:paraId="6F08334A"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Сэргээгдэх эрчим хүчийг нэмэгдүүлэх төсөл</w:t>
            </w:r>
          </w:p>
        </w:tc>
        <w:tc>
          <w:tcPr>
            <w:tcW w:w="1560" w:type="dxa"/>
          </w:tcPr>
          <w:p w14:paraId="28A49D90" w14:textId="77777777" w:rsidR="00D56309" w:rsidRPr="00531C66" w:rsidRDefault="00531C66" w:rsidP="00365BD2">
            <w:pPr>
              <w:pStyle w:val="BodyText"/>
              <w:spacing w:after="0"/>
              <w:jc w:val="center"/>
              <w:rPr>
                <w:rFonts w:ascii="Arial" w:hAnsi="Arial" w:cs="Arial"/>
                <w:sz w:val="21"/>
                <w:szCs w:val="21"/>
              </w:rPr>
            </w:pPr>
            <w:r w:rsidRPr="00531C66">
              <w:rPr>
                <w:rFonts w:ascii="Arial" w:hAnsi="Arial" w:cs="Arial"/>
                <w:sz w:val="21"/>
                <w:szCs w:val="21"/>
                <w:lang w:val="mn-MN"/>
              </w:rPr>
              <w:t>40.</w:t>
            </w:r>
            <w:r w:rsidRPr="00531C66">
              <w:rPr>
                <w:rFonts w:ascii="Arial" w:hAnsi="Arial" w:cs="Arial"/>
                <w:sz w:val="21"/>
                <w:szCs w:val="21"/>
              </w:rPr>
              <w:t>0</w:t>
            </w:r>
          </w:p>
        </w:tc>
        <w:tc>
          <w:tcPr>
            <w:tcW w:w="1559" w:type="dxa"/>
          </w:tcPr>
          <w:p w14:paraId="4E3D6492"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40.0</w:t>
            </w:r>
          </w:p>
        </w:tc>
        <w:tc>
          <w:tcPr>
            <w:tcW w:w="1559" w:type="dxa"/>
          </w:tcPr>
          <w:p w14:paraId="244804EA" w14:textId="77777777" w:rsidR="00D56309" w:rsidRPr="00531C66" w:rsidRDefault="00D56309" w:rsidP="00365BD2">
            <w:pPr>
              <w:pStyle w:val="BodyText"/>
              <w:spacing w:after="0"/>
              <w:jc w:val="both"/>
              <w:rPr>
                <w:rFonts w:ascii="Arial" w:hAnsi="Arial" w:cs="Arial"/>
                <w:sz w:val="21"/>
                <w:szCs w:val="21"/>
              </w:rPr>
            </w:pPr>
          </w:p>
        </w:tc>
      </w:tr>
      <w:tr w:rsidR="00D56309" w:rsidRPr="00531C66" w14:paraId="6758D205" w14:textId="77777777" w:rsidTr="00D56309">
        <w:tc>
          <w:tcPr>
            <w:tcW w:w="425" w:type="dxa"/>
          </w:tcPr>
          <w:p w14:paraId="39AE5514"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6</w:t>
            </w:r>
          </w:p>
        </w:tc>
        <w:tc>
          <w:tcPr>
            <w:tcW w:w="5387" w:type="dxa"/>
          </w:tcPr>
          <w:p w14:paraId="7002A306"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Төсвийн санхүүгийн удирдлагын ил тод, үр ашигтай байдал төсөл</w:t>
            </w:r>
          </w:p>
        </w:tc>
        <w:tc>
          <w:tcPr>
            <w:tcW w:w="1560" w:type="dxa"/>
          </w:tcPr>
          <w:p w14:paraId="30351750" w14:textId="77777777" w:rsidR="00D56309" w:rsidRPr="00531C66" w:rsidRDefault="00531C66" w:rsidP="00365BD2">
            <w:pPr>
              <w:pStyle w:val="BodyText"/>
              <w:spacing w:after="0"/>
              <w:jc w:val="center"/>
              <w:rPr>
                <w:rFonts w:ascii="Arial" w:hAnsi="Arial" w:cs="Arial"/>
                <w:sz w:val="21"/>
                <w:szCs w:val="21"/>
                <w:lang w:val="mn-MN"/>
              </w:rPr>
            </w:pPr>
            <w:r w:rsidRPr="00531C66">
              <w:rPr>
                <w:rFonts w:ascii="Arial" w:hAnsi="Arial" w:cs="Arial"/>
                <w:sz w:val="21"/>
                <w:szCs w:val="21"/>
                <w:lang w:val="mn-MN"/>
              </w:rPr>
              <w:t>25.0</w:t>
            </w:r>
          </w:p>
        </w:tc>
        <w:tc>
          <w:tcPr>
            <w:tcW w:w="1559" w:type="dxa"/>
          </w:tcPr>
          <w:p w14:paraId="7FCC34E5"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25.0</w:t>
            </w:r>
          </w:p>
        </w:tc>
        <w:tc>
          <w:tcPr>
            <w:tcW w:w="1559" w:type="dxa"/>
          </w:tcPr>
          <w:p w14:paraId="5816376A" w14:textId="77777777" w:rsidR="00D56309" w:rsidRPr="00531C66" w:rsidRDefault="00D56309" w:rsidP="00365BD2">
            <w:pPr>
              <w:pStyle w:val="BodyText"/>
              <w:spacing w:after="0"/>
              <w:jc w:val="both"/>
              <w:rPr>
                <w:rFonts w:ascii="Arial" w:hAnsi="Arial" w:cs="Arial"/>
                <w:sz w:val="21"/>
                <w:szCs w:val="21"/>
                <w:lang w:val="mn-MN"/>
              </w:rPr>
            </w:pPr>
          </w:p>
        </w:tc>
      </w:tr>
      <w:tr w:rsidR="00D56309" w:rsidRPr="00531C66" w14:paraId="2E8D76ED" w14:textId="77777777" w:rsidTr="00D56309">
        <w:tc>
          <w:tcPr>
            <w:tcW w:w="425" w:type="dxa"/>
          </w:tcPr>
          <w:p w14:paraId="557DF4F6"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7</w:t>
            </w:r>
          </w:p>
        </w:tc>
        <w:tc>
          <w:tcPr>
            <w:tcW w:w="5387" w:type="dxa"/>
          </w:tcPr>
          <w:p w14:paraId="5C2B77D4"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Улаанбаатар хотын агаарын чанарыг сайжруулах хөтөлбөр</w:t>
            </w:r>
            <w:r w:rsidR="00531C66">
              <w:rPr>
                <w:rFonts w:ascii="Arial" w:hAnsi="Arial" w:cs="Arial"/>
                <w:sz w:val="21"/>
                <w:szCs w:val="21"/>
                <w:lang w:val="mn-MN"/>
              </w:rPr>
              <w:t xml:space="preserve"> /Бодлогын з</w:t>
            </w:r>
            <w:r w:rsidRPr="00531C66">
              <w:rPr>
                <w:rFonts w:ascii="Arial" w:hAnsi="Arial" w:cs="Arial"/>
                <w:sz w:val="21"/>
                <w:szCs w:val="21"/>
                <w:lang w:val="mn-MN"/>
              </w:rPr>
              <w:t>ээллэг/</w:t>
            </w:r>
          </w:p>
        </w:tc>
        <w:tc>
          <w:tcPr>
            <w:tcW w:w="1560" w:type="dxa"/>
          </w:tcPr>
          <w:p w14:paraId="0AA0E087" w14:textId="77777777" w:rsidR="00D56309" w:rsidRPr="00531C66" w:rsidRDefault="00D56309" w:rsidP="00365BD2">
            <w:pPr>
              <w:pStyle w:val="BodyText"/>
              <w:spacing w:after="0"/>
              <w:jc w:val="center"/>
              <w:rPr>
                <w:rFonts w:ascii="Arial" w:hAnsi="Arial" w:cs="Arial"/>
                <w:sz w:val="21"/>
                <w:szCs w:val="21"/>
                <w:lang w:val="mn-MN"/>
              </w:rPr>
            </w:pPr>
            <w:r w:rsidRPr="00531C66">
              <w:rPr>
                <w:rFonts w:ascii="Arial" w:hAnsi="Arial" w:cs="Arial"/>
                <w:sz w:val="21"/>
                <w:szCs w:val="21"/>
                <w:lang w:val="mn-MN"/>
              </w:rPr>
              <w:t>130.0</w:t>
            </w:r>
          </w:p>
        </w:tc>
        <w:tc>
          <w:tcPr>
            <w:tcW w:w="1559" w:type="dxa"/>
          </w:tcPr>
          <w:p w14:paraId="58D24CB8"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130.0</w:t>
            </w:r>
          </w:p>
        </w:tc>
        <w:tc>
          <w:tcPr>
            <w:tcW w:w="1559" w:type="dxa"/>
          </w:tcPr>
          <w:p w14:paraId="16D61918" w14:textId="77777777" w:rsidR="00D56309" w:rsidRPr="00531C66" w:rsidRDefault="00D56309" w:rsidP="00365BD2">
            <w:pPr>
              <w:pStyle w:val="BodyText"/>
              <w:spacing w:after="0"/>
              <w:jc w:val="both"/>
              <w:rPr>
                <w:rFonts w:ascii="Arial" w:hAnsi="Arial" w:cs="Arial"/>
                <w:sz w:val="21"/>
                <w:szCs w:val="21"/>
                <w:lang w:val="mn-MN"/>
              </w:rPr>
            </w:pPr>
          </w:p>
        </w:tc>
      </w:tr>
      <w:tr w:rsidR="00D56309" w:rsidRPr="00531C66" w14:paraId="5B15D2EB" w14:textId="77777777" w:rsidTr="00D56309">
        <w:tc>
          <w:tcPr>
            <w:tcW w:w="425" w:type="dxa"/>
          </w:tcPr>
          <w:p w14:paraId="04182756"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8</w:t>
            </w:r>
          </w:p>
        </w:tc>
        <w:tc>
          <w:tcPr>
            <w:tcW w:w="5387" w:type="dxa"/>
          </w:tcPr>
          <w:p w14:paraId="2DA9BB6D" w14:textId="77777777" w:rsidR="00D56309" w:rsidRPr="00531C66" w:rsidRDefault="00D56309" w:rsidP="00D56309">
            <w:pPr>
              <w:pStyle w:val="BodyText"/>
              <w:tabs>
                <w:tab w:val="left" w:pos="975"/>
              </w:tabs>
              <w:spacing w:after="0"/>
              <w:jc w:val="both"/>
              <w:rPr>
                <w:rFonts w:ascii="Arial" w:hAnsi="Arial" w:cs="Arial"/>
                <w:sz w:val="21"/>
                <w:szCs w:val="21"/>
                <w:lang w:val="mn-MN"/>
              </w:rPr>
            </w:pPr>
            <w:r w:rsidRPr="00531C66">
              <w:rPr>
                <w:rFonts w:ascii="Arial" w:hAnsi="Arial" w:cs="Arial"/>
                <w:sz w:val="21"/>
                <w:szCs w:val="21"/>
                <w:lang w:val="mn-MN"/>
              </w:rPr>
              <w:t>Тогтвортой аялал жуулчлалыг дэмжих төсөл</w:t>
            </w:r>
          </w:p>
        </w:tc>
        <w:tc>
          <w:tcPr>
            <w:tcW w:w="1560" w:type="dxa"/>
          </w:tcPr>
          <w:p w14:paraId="63880C61" w14:textId="77777777" w:rsidR="00D56309" w:rsidRPr="00531C66" w:rsidRDefault="00D56309" w:rsidP="00365BD2">
            <w:pPr>
              <w:pStyle w:val="BodyText"/>
              <w:spacing w:after="0"/>
              <w:jc w:val="center"/>
              <w:rPr>
                <w:rFonts w:ascii="Arial" w:hAnsi="Arial" w:cs="Arial"/>
                <w:sz w:val="21"/>
                <w:szCs w:val="21"/>
                <w:lang w:val="mn-MN"/>
              </w:rPr>
            </w:pPr>
            <w:r w:rsidRPr="00531C66">
              <w:rPr>
                <w:rFonts w:ascii="Arial" w:hAnsi="Arial" w:cs="Arial"/>
                <w:sz w:val="21"/>
                <w:szCs w:val="21"/>
                <w:lang w:val="mn-MN"/>
              </w:rPr>
              <w:t>38.0</w:t>
            </w:r>
          </w:p>
        </w:tc>
        <w:tc>
          <w:tcPr>
            <w:tcW w:w="1559" w:type="dxa"/>
          </w:tcPr>
          <w:p w14:paraId="754FBF86"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19.0</w:t>
            </w:r>
          </w:p>
        </w:tc>
        <w:tc>
          <w:tcPr>
            <w:tcW w:w="1559" w:type="dxa"/>
          </w:tcPr>
          <w:p w14:paraId="0F73732A"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19.0</w:t>
            </w:r>
          </w:p>
        </w:tc>
      </w:tr>
      <w:tr w:rsidR="00D56309" w:rsidRPr="00531C66" w14:paraId="5C1EECE2" w14:textId="77777777" w:rsidTr="00D56309">
        <w:tc>
          <w:tcPr>
            <w:tcW w:w="425" w:type="dxa"/>
          </w:tcPr>
          <w:p w14:paraId="6F497834" w14:textId="77777777" w:rsidR="00D56309" w:rsidRPr="00531C66" w:rsidRDefault="00531C66" w:rsidP="00365BD2">
            <w:pPr>
              <w:pStyle w:val="BodyText"/>
              <w:spacing w:after="0"/>
              <w:jc w:val="both"/>
              <w:rPr>
                <w:rFonts w:ascii="Arial" w:hAnsi="Arial" w:cs="Arial"/>
                <w:sz w:val="21"/>
                <w:szCs w:val="21"/>
                <w:lang w:val="mn-MN"/>
              </w:rPr>
            </w:pPr>
            <w:r w:rsidRPr="00531C66">
              <w:rPr>
                <w:rFonts w:ascii="Arial" w:hAnsi="Arial" w:cs="Arial"/>
                <w:sz w:val="21"/>
                <w:szCs w:val="21"/>
                <w:lang w:val="mn-MN"/>
              </w:rPr>
              <w:t>9</w:t>
            </w:r>
          </w:p>
        </w:tc>
        <w:tc>
          <w:tcPr>
            <w:tcW w:w="5387" w:type="dxa"/>
          </w:tcPr>
          <w:p w14:paraId="7095663D"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Улаанбаатар хотын төлбөрийн чадварт нийцсэн орон сууц ба дахин төлөвлөлтийн төсөл</w:t>
            </w:r>
          </w:p>
        </w:tc>
        <w:tc>
          <w:tcPr>
            <w:tcW w:w="1560" w:type="dxa"/>
          </w:tcPr>
          <w:p w14:paraId="2E801C09" w14:textId="77777777" w:rsidR="00D56309" w:rsidRPr="00531C66" w:rsidRDefault="00D56309" w:rsidP="00365BD2">
            <w:pPr>
              <w:pStyle w:val="BodyText"/>
              <w:spacing w:after="0"/>
              <w:jc w:val="center"/>
              <w:rPr>
                <w:rFonts w:ascii="Arial" w:hAnsi="Arial" w:cs="Arial"/>
                <w:sz w:val="21"/>
                <w:szCs w:val="21"/>
                <w:lang w:val="mn-MN"/>
              </w:rPr>
            </w:pPr>
            <w:r w:rsidRPr="00531C66">
              <w:rPr>
                <w:rFonts w:ascii="Arial" w:hAnsi="Arial" w:cs="Arial"/>
                <w:sz w:val="21"/>
                <w:szCs w:val="21"/>
                <w:lang w:val="mn-MN"/>
              </w:rPr>
              <w:t>80.0</w:t>
            </w:r>
          </w:p>
        </w:tc>
        <w:tc>
          <w:tcPr>
            <w:tcW w:w="1559" w:type="dxa"/>
          </w:tcPr>
          <w:p w14:paraId="03C05213"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60.0</w:t>
            </w:r>
          </w:p>
        </w:tc>
        <w:tc>
          <w:tcPr>
            <w:tcW w:w="1559" w:type="dxa"/>
          </w:tcPr>
          <w:p w14:paraId="04195D5A" w14:textId="77777777" w:rsidR="00D56309" w:rsidRPr="00531C66" w:rsidRDefault="00D56309" w:rsidP="00365BD2">
            <w:pPr>
              <w:pStyle w:val="BodyText"/>
              <w:spacing w:after="0"/>
              <w:jc w:val="both"/>
              <w:rPr>
                <w:rFonts w:ascii="Arial" w:hAnsi="Arial" w:cs="Arial"/>
                <w:sz w:val="21"/>
                <w:szCs w:val="21"/>
                <w:lang w:val="mn-MN"/>
              </w:rPr>
            </w:pPr>
            <w:r w:rsidRPr="00531C66">
              <w:rPr>
                <w:rFonts w:ascii="Arial" w:hAnsi="Arial" w:cs="Arial"/>
                <w:sz w:val="21"/>
                <w:szCs w:val="21"/>
                <w:lang w:val="mn-MN"/>
              </w:rPr>
              <w:t>20.0</w:t>
            </w:r>
          </w:p>
        </w:tc>
      </w:tr>
      <w:tr w:rsidR="00D56309" w:rsidRPr="00531C66" w14:paraId="0B6A1616" w14:textId="77777777" w:rsidTr="00D56309">
        <w:tc>
          <w:tcPr>
            <w:tcW w:w="5812" w:type="dxa"/>
            <w:gridSpan w:val="2"/>
          </w:tcPr>
          <w:p w14:paraId="297273DE" w14:textId="77777777" w:rsidR="00D56309" w:rsidRPr="00531C66" w:rsidRDefault="00D56309" w:rsidP="00365BD2">
            <w:pPr>
              <w:pStyle w:val="BodyText"/>
              <w:spacing w:after="0"/>
              <w:jc w:val="center"/>
              <w:rPr>
                <w:rFonts w:ascii="Arial" w:hAnsi="Arial" w:cs="Arial"/>
                <w:b/>
                <w:sz w:val="21"/>
                <w:szCs w:val="21"/>
                <w:lang w:val="mn-MN"/>
              </w:rPr>
            </w:pPr>
            <w:r w:rsidRPr="00531C66">
              <w:rPr>
                <w:rFonts w:ascii="Arial" w:hAnsi="Arial" w:cs="Arial"/>
                <w:b/>
                <w:sz w:val="21"/>
                <w:szCs w:val="21"/>
                <w:lang w:val="mn-MN"/>
              </w:rPr>
              <w:t>НИЙТ</w:t>
            </w:r>
          </w:p>
        </w:tc>
        <w:tc>
          <w:tcPr>
            <w:tcW w:w="1560" w:type="dxa"/>
          </w:tcPr>
          <w:p w14:paraId="26D3D65B" w14:textId="77777777" w:rsidR="00D56309" w:rsidRPr="00531C66" w:rsidRDefault="00531C66" w:rsidP="00531C66">
            <w:pPr>
              <w:pStyle w:val="BodyText"/>
              <w:spacing w:after="0"/>
              <w:jc w:val="center"/>
              <w:rPr>
                <w:rFonts w:ascii="Arial" w:hAnsi="Arial" w:cs="Arial"/>
                <w:b/>
                <w:sz w:val="21"/>
                <w:szCs w:val="21"/>
                <w:lang w:val="mn-MN"/>
              </w:rPr>
            </w:pPr>
            <w:r w:rsidRPr="00531C66">
              <w:rPr>
                <w:rFonts w:ascii="Arial" w:hAnsi="Arial" w:cs="Arial"/>
                <w:b/>
                <w:sz w:val="21"/>
                <w:szCs w:val="21"/>
                <w:lang w:val="mn-MN"/>
              </w:rPr>
              <w:t>468</w:t>
            </w:r>
            <w:r w:rsidR="00D56309" w:rsidRPr="00531C66">
              <w:rPr>
                <w:rFonts w:ascii="Arial" w:hAnsi="Arial" w:cs="Arial"/>
                <w:b/>
                <w:sz w:val="21"/>
                <w:szCs w:val="21"/>
                <w:lang w:val="mn-MN"/>
              </w:rPr>
              <w:t>.00</w:t>
            </w:r>
          </w:p>
        </w:tc>
        <w:tc>
          <w:tcPr>
            <w:tcW w:w="1559" w:type="dxa"/>
          </w:tcPr>
          <w:p w14:paraId="27D31835" w14:textId="77777777" w:rsidR="00D56309" w:rsidRPr="00531C66" w:rsidRDefault="00531C66" w:rsidP="00365BD2">
            <w:pPr>
              <w:pStyle w:val="BodyText"/>
              <w:spacing w:after="0"/>
              <w:jc w:val="both"/>
              <w:rPr>
                <w:rFonts w:ascii="Arial" w:hAnsi="Arial" w:cs="Arial"/>
                <w:b/>
                <w:sz w:val="21"/>
                <w:szCs w:val="21"/>
                <w:lang w:val="mn-MN"/>
              </w:rPr>
            </w:pPr>
            <w:r w:rsidRPr="00531C66">
              <w:rPr>
                <w:rFonts w:ascii="Arial" w:hAnsi="Arial" w:cs="Arial"/>
                <w:b/>
                <w:sz w:val="21"/>
                <w:szCs w:val="21"/>
                <w:lang w:val="mn-MN"/>
              </w:rPr>
              <w:t>404</w:t>
            </w:r>
            <w:r w:rsidR="00D56309" w:rsidRPr="00531C66">
              <w:rPr>
                <w:rFonts w:ascii="Arial" w:hAnsi="Arial" w:cs="Arial"/>
                <w:b/>
                <w:sz w:val="21"/>
                <w:szCs w:val="21"/>
                <w:lang w:val="mn-MN"/>
              </w:rPr>
              <w:t>.00</w:t>
            </w:r>
          </w:p>
        </w:tc>
        <w:tc>
          <w:tcPr>
            <w:tcW w:w="1559" w:type="dxa"/>
          </w:tcPr>
          <w:p w14:paraId="6854771A" w14:textId="77777777" w:rsidR="00D56309" w:rsidRPr="00531C66" w:rsidRDefault="00531C66" w:rsidP="00531C66">
            <w:pPr>
              <w:pStyle w:val="BodyText"/>
              <w:spacing w:after="0"/>
              <w:jc w:val="both"/>
              <w:rPr>
                <w:rFonts w:ascii="Arial" w:hAnsi="Arial" w:cs="Arial"/>
                <w:b/>
                <w:sz w:val="21"/>
                <w:szCs w:val="21"/>
                <w:lang w:val="mn-MN"/>
              </w:rPr>
            </w:pPr>
            <w:r w:rsidRPr="00531C66">
              <w:rPr>
                <w:rFonts w:ascii="Arial" w:hAnsi="Arial" w:cs="Arial"/>
                <w:b/>
                <w:sz w:val="21"/>
                <w:szCs w:val="21"/>
                <w:lang w:val="mn-MN"/>
              </w:rPr>
              <w:t>64</w:t>
            </w:r>
            <w:r w:rsidR="00D56309" w:rsidRPr="00531C66">
              <w:rPr>
                <w:rFonts w:ascii="Arial" w:hAnsi="Arial" w:cs="Arial"/>
                <w:b/>
                <w:sz w:val="21"/>
                <w:szCs w:val="21"/>
                <w:lang w:val="mn-MN"/>
              </w:rPr>
              <w:t>.00</w:t>
            </w:r>
          </w:p>
        </w:tc>
      </w:tr>
    </w:tbl>
    <w:p w14:paraId="7FDE0435" w14:textId="77777777" w:rsidR="00D56309" w:rsidRDefault="00D56309" w:rsidP="007539C9">
      <w:pPr>
        <w:spacing w:line="276" w:lineRule="auto"/>
        <w:ind w:firstLine="720"/>
        <w:jc w:val="both"/>
        <w:rPr>
          <w:rFonts w:ascii="Arial" w:hAnsi="Arial" w:cs="Arial"/>
          <w:noProof/>
          <w:color w:val="000000"/>
          <w:lang w:val="mn-MN"/>
        </w:rPr>
      </w:pPr>
    </w:p>
    <w:p w14:paraId="03546AA1" w14:textId="77777777" w:rsidR="00531C66" w:rsidRPr="00531C66" w:rsidRDefault="00531C66" w:rsidP="00531C66">
      <w:pPr>
        <w:pStyle w:val="BodyText"/>
        <w:spacing w:after="0"/>
        <w:ind w:firstLine="720"/>
        <w:jc w:val="both"/>
        <w:rPr>
          <w:rFonts w:ascii="Arial" w:hAnsi="Arial" w:cs="Arial"/>
          <w:szCs w:val="24"/>
          <w:lang w:val="mn-MN"/>
        </w:rPr>
      </w:pPr>
      <w:r w:rsidRPr="00531C66">
        <w:rPr>
          <w:rFonts w:ascii="Arial" w:hAnsi="Arial" w:cs="Arial"/>
          <w:szCs w:val="24"/>
          <w:lang w:val="mn-MN"/>
        </w:rPr>
        <w:lastRenderedPageBreak/>
        <w:t>Мөн, Монгол Улсын Засгийн газар, Олон улсын валютын сан хамтран хэрэгжүүлэх “Өргөтгөсөн санхүүжилтийн хөтөлбөр</w:t>
      </w:r>
      <w:r w:rsidR="00D70463">
        <w:rPr>
          <w:rFonts w:ascii="Arial" w:hAnsi="Arial" w:cs="Arial"/>
          <w:szCs w:val="24"/>
          <w:lang w:val="mn-MN"/>
        </w:rPr>
        <w:t>”-ийн хүрээнд АХБ-тай 2018 онд хоёр</w:t>
      </w:r>
      <w:r w:rsidRPr="00531C66">
        <w:rPr>
          <w:rFonts w:ascii="Arial" w:hAnsi="Arial" w:cs="Arial"/>
          <w:szCs w:val="24"/>
          <w:lang w:val="mn-MN"/>
        </w:rPr>
        <w:t xml:space="preserve"> үе шаттай “Улаанбаатар хотын агаарын чанарыг сайжруулах хөтөлбөр” бодлогын зээллэгийг хэрэгжүүлэхээр АХБ-тай идэвхитэй хамтран ажиллаж байна.  </w:t>
      </w:r>
    </w:p>
    <w:p w14:paraId="588B6240" w14:textId="77777777" w:rsidR="00531C66" w:rsidRPr="00531C66" w:rsidRDefault="00531C66" w:rsidP="00531C66">
      <w:pPr>
        <w:pStyle w:val="BodyText"/>
        <w:spacing w:after="0"/>
        <w:ind w:firstLine="720"/>
        <w:jc w:val="both"/>
        <w:rPr>
          <w:rFonts w:ascii="Arial" w:hAnsi="Arial" w:cs="Arial"/>
          <w:szCs w:val="24"/>
          <w:lang w:val="mn-MN"/>
        </w:rPr>
      </w:pPr>
    </w:p>
    <w:p w14:paraId="76452131" w14:textId="77777777" w:rsidR="00531C66" w:rsidRPr="00531C66" w:rsidRDefault="00531C66" w:rsidP="00531C66">
      <w:pPr>
        <w:pStyle w:val="BodyText"/>
        <w:spacing w:after="0"/>
        <w:ind w:firstLine="720"/>
        <w:jc w:val="both"/>
        <w:rPr>
          <w:rFonts w:ascii="Arial" w:hAnsi="Arial" w:cs="Arial"/>
          <w:szCs w:val="24"/>
          <w:lang w:val="mn-MN"/>
        </w:rPr>
      </w:pPr>
      <w:r w:rsidRPr="00531C66">
        <w:rPr>
          <w:rFonts w:ascii="Arial" w:hAnsi="Arial" w:cs="Arial"/>
          <w:szCs w:val="24"/>
          <w:lang w:val="mn-MN"/>
        </w:rPr>
        <w:t xml:space="preserve">Дээрх төслүүдийн зээлийн санхүүжилтийг цаг хугацаанд нь авах, зээлийн хэлэлцээрүүдийг хугацаа алдалгүй АХБ-ны Захирлуудын зөвлөлөөр батлуулах шаардлагатай байгаа тул төслүүдийн зээлийн асуудлаар УИХ-тай нэгтгэсэн байдлаар зөвшилцөж, соёрхон батлуулах зорилгоор Санхүүжилтийн ерөнхий хөтөлбөрийг боловсруулаад байна. </w:t>
      </w:r>
    </w:p>
    <w:p w14:paraId="551753E1" w14:textId="77777777" w:rsidR="00531C66" w:rsidRPr="00531C66" w:rsidRDefault="00531C66" w:rsidP="00531C66">
      <w:pPr>
        <w:pStyle w:val="BodyText"/>
        <w:spacing w:after="0"/>
        <w:ind w:firstLine="720"/>
        <w:jc w:val="both"/>
        <w:rPr>
          <w:rFonts w:ascii="Arial" w:hAnsi="Arial" w:cs="Arial"/>
          <w:szCs w:val="24"/>
          <w:lang w:val="mn-MN"/>
        </w:rPr>
      </w:pPr>
    </w:p>
    <w:p w14:paraId="7AF9BAF9" w14:textId="77777777" w:rsidR="00531C66" w:rsidRPr="00531C66" w:rsidRDefault="00531C66" w:rsidP="00531C66">
      <w:pPr>
        <w:pStyle w:val="BodyText"/>
        <w:spacing w:after="0"/>
        <w:ind w:firstLine="720"/>
        <w:jc w:val="both"/>
        <w:rPr>
          <w:rFonts w:ascii="Arial" w:hAnsi="Arial" w:cs="Arial"/>
          <w:szCs w:val="24"/>
          <w:lang w:val="mn-MN"/>
        </w:rPr>
      </w:pPr>
      <w:r w:rsidRPr="00531C66">
        <w:rPr>
          <w:rFonts w:ascii="Arial" w:hAnsi="Arial" w:cs="Arial"/>
          <w:szCs w:val="24"/>
          <w:lang w:val="mn-MN"/>
        </w:rPr>
        <w:t xml:space="preserve">Ингэснээр зээлийн төслийг хэлэлцүүлэн батлуулахад хугацаа алдахгүй ба Засгийн газраас баримталж буй бодлогуудад нийцсэн, цаг үеэ олсон төсөл, хөтөлбөрүүдийг хэрэгжүүлж эхлүүлэх, холбогдох судалгаа, шинжилгээний ажлыг шуурхай эхлүүлэх зэрэг чухал ач холбогдолтой юм. </w:t>
      </w:r>
    </w:p>
    <w:p w14:paraId="5986D34C" w14:textId="77777777" w:rsidR="00531C66" w:rsidRPr="00531C66" w:rsidRDefault="00531C66" w:rsidP="00531C66">
      <w:pPr>
        <w:pStyle w:val="BodyText"/>
        <w:spacing w:after="0"/>
        <w:ind w:firstLine="720"/>
        <w:jc w:val="both"/>
        <w:rPr>
          <w:rFonts w:ascii="Arial" w:hAnsi="Arial" w:cs="Arial"/>
          <w:szCs w:val="24"/>
          <w:lang w:val="mn-MN"/>
        </w:rPr>
      </w:pPr>
    </w:p>
    <w:p w14:paraId="2464F9BB" w14:textId="77777777" w:rsidR="00061E86" w:rsidRPr="003F0E8D" w:rsidRDefault="003F0E8D" w:rsidP="007539C9">
      <w:pPr>
        <w:jc w:val="center"/>
        <w:rPr>
          <w:rFonts w:ascii="Arial" w:hAnsi="Arial" w:cs="Arial"/>
          <w:b/>
          <w:noProof/>
          <w:color w:val="000000"/>
          <w:sz w:val="22"/>
          <w:lang w:val="mn-MN"/>
        </w:rPr>
      </w:pPr>
      <w:r>
        <w:rPr>
          <w:rFonts w:ascii="Arial" w:hAnsi="Arial" w:cs="Arial"/>
          <w:b/>
          <w:noProof/>
          <w:color w:val="000000"/>
          <w:sz w:val="22"/>
          <w:lang w:val="mn-MN"/>
        </w:rPr>
        <w:t>ЗАСГИЙН ГАЗРЫН ХЭРЭГ ЭРХЛЭХ ГАЗАР</w:t>
      </w:r>
    </w:p>
    <w:p w14:paraId="50CD3CB8" w14:textId="77777777" w:rsidR="00AC218F" w:rsidRPr="00531C66" w:rsidRDefault="00AC218F" w:rsidP="007539C9">
      <w:pPr>
        <w:rPr>
          <w:sz w:val="22"/>
        </w:rPr>
      </w:pPr>
    </w:p>
    <w:sectPr w:rsidR="00AC218F" w:rsidRPr="00531C66" w:rsidSect="005E0922">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4166D" w14:textId="77777777" w:rsidR="00923E0F" w:rsidRDefault="00923E0F" w:rsidP="00D56309">
      <w:r>
        <w:separator/>
      </w:r>
    </w:p>
  </w:endnote>
  <w:endnote w:type="continuationSeparator" w:id="0">
    <w:p w14:paraId="682FBA66" w14:textId="77777777" w:rsidR="00923E0F" w:rsidRDefault="00923E0F" w:rsidP="00D5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4878C" w14:textId="77777777" w:rsidR="00923E0F" w:rsidRDefault="00923E0F" w:rsidP="00D56309">
      <w:r>
        <w:separator/>
      </w:r>
    </w:p>
  </w:footnote>
  <w:footnote w:type="continuationSeparator" w:id="0">
    <w:p w14:paraId="12CC4C60" w14:textId="77777777" w:rsidR="00923E0F" w:rsidRDefault="00923E0F" w:rsidP="00D56309">
      <w:r>
        <w:continuationSeparator/>
      </w:r>
    </w:p>
  </w:footnote>
  <w:footnote w:id="1">
    <w:p w14:paraId="41657208" w14:textId="77777777" w:rsidR="00D56309" w:rsidRPr="00FC42F4" w:rsidRDefault="00D56309" w:rsidP="00D56309">
      <w:pPr>
        <w:pStyle w:val="FootnoteText"/>
        <w:jc w:val="both"/>
        <w:rPr>
          <w:rFonts w:ascii="Arial" w:hAnsi="Arial" w:cs="Arial"/>
          <w:sz w:val="18"/>
          <w:lang w:val="mn-MN"/>
        </w:rPr>
      </w:pPr>
      <w:r w:rsidRPr="00A15FAD">
        <w:rPr>
          <w:rStyle w:val="FootnoteReference"/>
          <w:rFonts w:ascii="Arial" w:hAnsi="Arial" w:cs="Arial"/>
        </w:rPr>
        <w:footnoteRef/>
      </w:r>
      <w:r w:rsidRPr="00A15FAD">
        <w:rPr>
          <w:rFonts w:ascii="Arial" w:hAnsi="Arial" w:cs="Arial"/>
          <w:sz w:val="18"/>
        </w:rPr>
        <w:t xml:space="preserve"> </w:t>
      </w:r>
      <w:r w:rsidRPr="00FC42F4">
        <w:rPr>
          <w:rFonts w:ascii="Arial" w:hAnsi="Arial" w:cs="Arial"/>
          <w:sz w:val="16"/>
          <w:lang w:val="mn-MN"/>
        </w:rPr>
        <w:t xml:space="preserve">2012 оноос эхлэн Монгол Улсын зээлжих зэрэглэл ахиж хөнгөлөлттэй нөхцөлтэй зээлээс гадна хүндрүүлсэн нөхцөлтэй Энгийн эх үүсвэрээс санхүүжилт авах эрхтэй болсон.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51775"/>
    <w:multiLevelType w:val="hybridMultilevel"/>
    <w:tmpl w:val="20A49836"/>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86"/>
    <w:rsid w:val="0002213E"/>
    <w:rsid w:val="000415CA"/>
    <w:rsid w:val="00061E86"/>
    <w:rsid w:val="00084BA2"/>
    <w:rsid w:val="000942AD"/>
    <w:rsid w:val="000B0723"/>
    <w:rsid w:val="000E07AA"/>
    <w:rsid w:val="00125880"/>
    <w:rsid w:val="001475DC"/>
    <w:rsid w:val="001659E3"/>
    <w:rsid w:val="001B2AFE"/>
    <w:rsid w:val="001E0386"/>
    <w:rsid w:val="002753BB"/>
    <w:rsid w:val="002B1EA6"/>
    <w:rsid w:val="00304978"/>
    <w:rsid w:val="00310585"/>
    <w:rsid w:val="003F0E8D"/>
    <w:rsid w:val="00421EEB"/>
    <w:rsid w:val="0048600A"/>
    <w:rsid w:val="004A559E"/>
    <w:rsid w:val="004B0382"/>
    <w:rsid w:val="0050609B"/>
    <w:rsid w:val="00506879"/>
    <w:rsid w:val="00522CB0"/>
    <w:rsid w:val="00531C66"/>
    <w:rsid w:val="0053372A"/>
    <w:rsid w:val="00562BC4"/>
    <w:rsid w:val="0058307A"/>
    <w:rsid w:val="00585248"/>
    <w:rsid w:val="005E0922"/>
    <w:rsid w:val="005E3E30"/>
    <w:rsid w:val="006C571E"/>
    <w:rsid w:val="006F3EAC"/>
    <w:rsid w:val="007539C9"/>
    <w:rsid w:val="00784B2B"/>
    <w:rsid w:val="007B1151"/>
    <w:rsid w:val="007B163C"/>
    <w:rsid w:val="00833A4B"/>
    <w:rsid w:val="00880B37"/>
    <w:rsid w:val="008B25FB"/>
    <w:rsid w:val="008C0526"/>
    <w:rsid w:val="008D791B"/>
    <w:rsid w:val="00923E0F"/>
    <w:rsid w:val="0096003C"/>
    <w:rsid w:val="009E496C"/>
    <w:rsid w:val="00A2463C"/>
    <w:rsid w:val="00A32FC0"/>
    <w:rsid w:val="00A80717"/>
    <w:rsid w:val="00AB3F66"/>
    <w:rsid w:val="00AC218F"/>
    <w:rsid w:val="00B03003"/>
    <w:rsid w:val="00B24C49"/>
    <w:rsid w:val="00B42A96"/>
    <w:rsid w:val="00B442ED"/>
    <w:rsid w:val="00BF314F"/>
    <w:rsid w:val="00C27EBE"/>
    <w:rsid w:val="00C4455A"/>
    <w:rsid w:val="00C95C7B"/>
    <w:rsid w:val="00D20356"/>
    <w:rsid w:val="00D21864"/>
    <w:rsid w:val="00D56309"/>
    <w:rsid w:val="00D612C2"/>
    <w:rsid w:val="00D70463"/>
    <w:rsid w:val="00D81503"/>
    <w:rsid w:val="00DC28CF"/>
    <w:rsid w:val="00E22739"/>
    <w:rsid w:val="00E65CB4"/>
    <w:rsid w:val="00E812A3"/>
    <w:rsid w:val="00EC348B"/>
    <w:rsid w:val="00F62A8D"/>
    <w:rsid w:val="00F74C5E"/>
    <w:rsid w:val="00F95801"/>
    <w:rsid w:val="00FB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D54E"/>
  <w15:docId w15:val="{3F963A95-91EB-47D5-A318-CF6AA0C0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1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E86"/>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D612C2"/>
    <w:pPr>
      <w:spacing w:after="120" w:line="276" w:lineRule="auto"/>
    </w:pPr>
    <w:rPr>
      <w:rFonts w:ascii="Calibri" w:hAnsi="Calibri"/>
      <w:sz w:val="22"/>
      <w:szCs w:val="22"/>
      <w:lang w:eastAsia="zh-CN"/>
    </w:rPr>
  </w:style>
  <w:style w:type="character" w:customStyle="1" w:styleId="BodyTextChar">
    <w:name w:val="Body Text Char"/>
    <w:basedOn w:val="DefaultParagraphFont"/>
    <w:link w:val="BodyText"/>
    <w:uiPriority w:val="99"/>
    <w:rsid w:val="00D612C2"/>
    <w:rPr>
      <w:rFonts w:ascii="Calibri" w:eastAsia="Times New Roman" w:hAnsi="Calibri" w:cs="Times New Roman"/>
      <w:lang w:eastAsia="zh-CN"/>
    </w:rPr>
  </w:style>
  <w:style w:type="paragraph" w:styleId="FootnoteText">
    <w:name w:val="footnote text"/>
    <w:basedOn w:val="Normal"/>
    <w:link w:val="FootnoteTextChar"/>
    <w:uiPriority w:val="99"/>
    <w:semiHidden/>
    <w:unhideWhenUsed/>
    <w:rsid w:val="00D563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6309"/>
    <w:rPr>
      <w:sz w:val="20"/>
      <w:szCs w:val="20"/>
    </w:rPr>
  </w:style>
  <w:style w:type="character" w:styleId="FootnoteReference">
    <w:name w:val="footnote reference"/>
    <w:basedOn w:val="DefaultParagraphFont"/>
    <w:uiPriority w:val="99"/>
    <w:semiHidden/>
    <w:unhideWhenUsed/>
    <w:rsid w:val="00D56309"/>
    <w:rPr>
      <w:vertAlign w:val="superscript"/>
    </w:rPr>
  </w:style>
  <w:style w:type="table" w:styleId="TableGrid">
    <w:name w:val="Table Grid"/>
    <w:basedOn w:val="TableNormal"/>
    <w:uiPriority w:val="59"/>
    <w:rsid w:val="00D56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Аясгалан Молор</dc:creator>
  <cp:lastModifiedBy>Microsoft Office User</cp:lastModifiedBy>
  <cp:revision>2</cp:revision>
  <cp:lastPrinted>2017-05-15T09:43:00Z</cp:lastPrinted>
  <dcterms:created xsi:type="dcterms:W3CDTF">2017-10-24T03:40:00Z</dcterms:created>
  <dcterms:modified xsi:type="dcterms:W3CDTF">2017-10-24T03:40:00Z</dcterms:modified>
</cp:coreProperties>
</file>