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C1AEB" w14:textId="77777777" w:rsidR="00C10E0F" w:rsidRPr="009E2CCF" w:rsidRDefault="00C10E0F" w:rsidP="00C10E0F">
      <w:pPr>
        <w:pStyle w:val="Title"/>
        <w:ind w:right="-357"/>
        <w:jc w:val="right"/>
        <w:rPr>
          <w:rFonts w:ascii="Arial" w:hAnsi="Arial" w:cs="Arial"/>
          <w:noProof/>
          <w:color w:val="808080" w:themeColor="background1" w:themeShade="80"/>
          <w:sz w:val="24"/>
          <w:u w:val="single"/>
          <w:lang w:val="mn-MN"/>
        </w:rPr>
      </w:pPr>
      <w:bookmarkStart w:id="0" w:name="_GoBack"/>
      <w:bookmarkEnd w:id="0"/>
      <w:r w:rsidRPr="009E2CCF">
        <w:rPr>
          <w:rFonts w:ascii="Arial" w:hAnsi="Arial" w:cs="Arial"/>
          <w:noProof/>
          <w:color w:val="808080" w:themeColor="background1" w:themeShade="80"/>
          <w:sz w:val="24"/>
          <w:u w:val="single"/>
          <w:lang w:val="mn-MN"/>
        </w:rPr>
        <w:t>ТӨСӨЛ</w:t>
      </w:r>
    </w:p>
    <w:p w14:paraId="1A3193EC" w14:textId="77777777" w:rsidR="00C10E0F" w:rsidRPr="009E2CCF" w:rsidRDefault="00C10E0F" w:rsidP="00C10E0F">
      <w:pPr>
        <w:pStyle w:val="Title"/>
        <w:ind w:left="-142" w:right="-357"/>
        <w:jc w:val="right"/>
        <w:rPr>
          <w:rFonts w:ascii="Arial" w:hAnsi="Arial" w:cs="Arial"/>
          <w:noProof/>
          <w:color w:val="auto"/>
          <w:sz w:val="24"/>
          <w:u w:val="single"/>
          <w:lang w:val="mn-MN"/>
        </w:rPr>
      </w:pPr>
    </w:p>
    <w:p w14:paraId="7B048399" w14:textId="77777777" w:rsidR="00C10E0F" w:rsidRPr="009E2CCF" w:rsidRDefault="00C10E0F" w:rsidP="00C10E0F">
      <w:pPr>
        <w:pStyle w:val="Heading1"/>
        <w:rPr>
          <w:rFonts w:ascii="Arial" w:hAnsi="Arial" w:cs="Arial"/>
          <w:szCs w:val="24"/>
          <w:lang w:val="mn-MN"/>
        </w:rPr>
      </w:pPr>
      <w:r w:rsidRPr="009E2CCF">
        <w:rPr>
          <w:rFonts w:ascii="Arial" w:hAnsi="Arial" w:cs="Arial"/>
          <w:szCs w:val="24"/>
          <w:lang w:val="mn-MN"/>
        </w:rPr>
        <w:t>МОНГОЛ УЛСЫН ХУУЛЬ</w:t>
      </w:r>
    </w:p>
    <w:p w14:paraId="77396DA1" w14:textId="77777777" w:rsidR="00C10E0F" w:rsidRPr="009E2CCF" w:rsidRDefault="00C10E0F" w:rsidP="00C10E0F">
      <w:pPr>
        <w:rPr>
          <w:rFonts w:asciiTheme="minorHAnsi" w:hAnsiTheme="minorHAnsi"/>
          <w:lang w:val="mn-MN"/>
        </w:rPr>
      </w:pPr>
    </w:p>
    <w:p w14:paraId="712FACCD" w14:textId="77777777" w:rsidR="00C10E0F" w:rsidRPr="009E2CCF" w:rsidRDefault="00C10E0F" w:rsidP="00C10E0F">
      <w:pPr>
        <w:rPr>
          <w:rFonts w:asciiTheme="minorHAnsi" w:hAnsiTheme="minorHAnsi"/>
          <w:lang w:val="mn-MN"/>
        </w:rPr>
      </w:pPr>
    </w:p>
    <w:p w14:paraId="4D05234B" w14:textId="77777777" w:rsidR="00C10E0F" w:rsidRPr="009E2CCF" w:rsidRDefault="00C10E0F" w:rsidP="00C10E0F">
      <w:pPr>
        <w:rPr>
          <w:rFonts w:cs="Arial"/>
          <w:lang w:val="mn-MN"/>
        </w:rPr>
      </w:pPr>
    </w:p>
    <w:p w14:paraId="5927C099" w14:textId="77777777" w:rsidR="00C10E0F" w:rsidRPr="009E2CCF" w:rsidRDefault="00C10E0F" w:rsidP="00C10E0F">
      <w:pPr>
        <w:ind w:left="5040" w:hanging="5040"/>
        <w:rPr>
          <w:rFonts w:cs="Arial"/>
          <w:lang w:val="mn-MN"/>
        </w:rPr>
      </w:pPr>
      <w:r w:rsidRPr="009E2CCF">
        <w:rPr>
          <w:rFonts w:cs="Arial"/>
          <w:lang w:val="mn-MN"/>
        </w:rPr>
        <w:t xml:space="preserve">2017 оны ... сар ... өдөр                                 </w:t>
      </w:r>
      <w:r w:rsidRPr="009E2CCF">
        <w:rPr>
          <w:rFonts w:cs="Arial"/>
          <w:lang w:val="mn-MN"/>
        </w:rPr>
        <w:tab/>
      </w:r>
      <w:r w:rsidRPr="009E2CCF">
        <w:rPr>
          <w:rFonts w:cs="Arial"/>
          <w:lang w:val="mn-MN"/>
        </w:rPr>
        <w:tab/>
        <w:t xml:space="preserve">                           Улаанбаатар хот</w:t>
      </w:r>
    </w:p>
    <w:p w14:paraId="65148AF1" w14:textId="77777777" w:rsidR="00C10E0F" w:rsidRPr="009E2CCF" w:rsidRDefault="00C10E0F" w:rsidP="00C10E0F">
      <w:pPr>
        <w:rPr>
          <w:rFonts w:cs="Arial"/>
          <w:lang w:val="mn-MN"/>
        </w:rPr>
      </w:pPr>
    </w:p>
    <w:p w14:paraId="602325D4" w14:textId="77777777" w:rsidR="00C10E0F" w:rsidRPr="009E2CCF" w:rsidRDefault="00C10E0F" w:rsidP="00C10E0F">
      <w:pPr>
        <w:rPr>
          <w:rFonts w:cs="Arial"/>
          <w:lang w:val="mn-MN"/>
        </w:rPr>
      </w:pPr>
    </w:p>
    <w:p w14:paraId="3F6F0D88" w14:textId="77777777" w:rsidR="00C10E0F" w:rsidRPr="009E2CCF" w:rsidRDefault="00C10E0F" w:rsidP="00C10E0F">
      <w:pPr>
        <w:pStyle w:val="Heading1"/>
        <w:rPr>
          <w:rFonts w:ascii="Arial" w:hAnsi="Arial" w:cs="Arial"/>
          <w:szCs w:val="24"/>
          <w:lang w:val="mn-MN"/>
        </w:rPr>
      </w:pPr>
      <w:r w:rsidRPr="009E2CCF">
        <w:rPr>
          <w:rFonts w:ascii="Arial" w:hAnsi="Arial" w:cs="Arial"/>
          <w:szCs w:val="24"/>
          <w:lang w:val="mn-MN"/>
        </w:rPr>
        <w:t>МОНГОЛ УЛСЫН НЭГДСЭН ТӨСВИЙН 2018 ОНЫ ТӨСВИЙН ХҮРЭЭНИЙ</w:t>
      </w:r>
      <w:r w:rsidRPr="009E2CCF">
        <w:rPr>
          <w:rFonts w:ascii="Arial" w:hAnsi="Arial" w:cs="Arial"/>
          <w:szCs w:val="24"/>
          <w:lang w:val="mn-MN"/>
        </w:rPr>
        <w:tab/>
      </w:r>
    </w:p>
    <w:p w14:paraId="2266FA3E" w14:textId="77777777" w:rsidR="00C10E0F" w:rsidRPr="009E2CCF" w:rsidRDefault="00C10E0F" w:rsidP="00C10E0F">
      <w:pPr>
        <w:pStyle w:val="Heading1"/>
        <w:rPr>
          <w:rFonts w:ascii="Arial" w:hAnsi="Arial" w:cs="Arial"/>
          <w:szCs w:val="24"/>
          <w:lang w:val="mn-MN"/>
        </w:rPr>
      </w:pPr>
      <w:r w:rsidRPr="009E2CCF">
        <w:rPr>
          <w:rFonts w:ascii="Arial" w:hAnsi="Arial" w:cs="Arial"/>
          <w:szCs w:val="24"/>
          <w:lang w:val="mn-MN"/>
        </w:rPr>
        <w:t>МЭДЭГДЭЛ, 2019-2020 ОНЫ ТӨСВИЙН ТӨСӨӨЛЛИЙН ТУХАЙ ХУУЛЬД</w:t>
      </w:r>
    </w:p>
    <w:p w14:paraId="639ADC36" w14:textId="77777777" w:rsidR="00C10E0F" w:rsidRPr="009E2CCF" w:rsidRDefault="00C10E0F" w:rsidP="00C10E0F">
      <w:pPr>
        <w:pStyle w:val="Heading1"/>
        <w:rPr>
          <w:rFonts w:ascii="Arial" w:hAnsi="Arial" w:cs="Arial"/>
          <w:szCs w:val="24"/>
          <w:lang w:val="mn-MN"/>
        </w:rPr>
      </w:pPr>
      <w:r w:rsidRPr="009E2CCF">
        <w:rPr>
          <w:rFonts w:ascii="Arial" w:hAnsi="Arial" w:cs="Arial"/>
          <w:szCs w:val="24"/>
          <w:lang w:val="mn-MN"/>
        </w:rPr>
        <w:t>ӨӨРЧЛӨЛТ ОРУУЛАХ ТУХАЙ</w:t>
      </w:r>
      <w:r w:rsidRPr="009E2CCF">
        <w:rPr>
          <w:rFonts w:ascii="Arial" w:hAnsi="Arial" w:cs="Arial"/>
          <w:szCs w:val="24"/>
          <w:lang w:val="mn-MN"/>
        </w:rPr>
        <w:tab/>
      </w:r>
      <w:r w:rsidRPr="009E2CCF">
        <w:rPr>
          <w:rFonts w:ascii="Arial" w:hAnsi="Arial" w:cs="Arial"/>
          <w:szCs w:val="24"/>
          <w:lang w:val="mn-MN"/>
        </w:rPr>
        <w:tab/>
      </w:r>
      <w:r w:rsidRPr="009E2CCF">
        <w:rPr>
          <w:rFonts w:ascii="Arial" w:hAnsi="Arial" w:cs="Arial"/>
          <w:szCs w:val="24"/>
          <w:lang w:val="mn-MN"/>
        </w:rPr>
        <w:tab/>
      </w:r>
    </w:p>
    <w:p w14:paraId="46FEEC97" w14:textId="77777777" w:rsidR="00C10E0F" w:rsidRPr="009E2CCF" w:rsidRDefault="00C10E0F" w:rsidP="00C10E0F">
      <w:pPr>
        <w:jc w:val="both"/>
        <w:rPr>
          <w:rFonts w:cs="Arial"/>
          <w:lang w:val="mn-MN"/>
        </w:rPr>
      </w:pPr>
    </w:p>
    <w:p w14:paraId="3CC7490D" w14:textId="77777777" w:rsidR="00C10E0F" w:rsidRPr="009E2CCF" w:rsidRDefault="00C10E0F" w:rsidP="00C10E0F">
      <w:pPr>
        <w:jc w:val="both"/>
        <w:rPr>
          <w:rFonts w:cs="Arial"/>
          <w:lang w:val="mn-MN"/>
        </w:rPr>
      </w:pPr>
    </w:p>
    <w:p w14:paraId="444A5CA7" w14:textId="77777777" w:rsidR="00C10E0F" w:rsidRPr="009E2CCF" w:rsidRDefault="00C10E0F" w:rsidP="00C10E0F">
      <w:pPr>
        <w:tabs>
          <w:tab w:val="left" w:pos="420"/>
        </w:tabs>
        <w:ind w:firstLine="720"/>
        <w:jc w:val="both"/>
        <w:rPr>
          <w:rFonts w:cs="Arial"/>
          <w:bCs/>
          <w:lang w:val="mn-MN"/>
        </w:rPr>
      </w:pPr>
      <w:r w:rsidRPr="009E2CCF">
        <w:rPr>
          <w:rFonts w:cs="Arial"/>
          <w:b/>
          <w:bCs/>
          <w:lang w:val="mn-MN"/>
        </w:rPr>
        <w:t>1 дүгээр зүйл.</w:t>
      </w:r>
      <w:r w:rsidRPr="009E2CCF">
        <w:rPr>
          <w:rFonts w:cs="Arial"/>
          <w:bCs/>
          <w:lang w:val="mn-MN"/>
        </w:rPr>
        <w:t>Монгол Улсын нэгдсэн төсвийн 2018 оны төсвийн хүрээний мэдэгдэл, 2019-2020 оны төсвийн төсөөллийн тухай хуулийн 1 дүгээр зүйлийг доор дурдсанаар өөрчлөн найруулсугай:</w:t>
      </w:r>
    </w:p>
    <w:p w14:paraId="73D13FD7" w14:textId="77777777" w:rsidR="00C10E0F" w:rsidRPr="009E2CCF" w:rsidRDefault="00C10E0F" w:rsidP="00C10E0F">
      <w:pPr>
        <w:ind w:firstLine="720"/>
        <w:jc w:val="both"/>
        <w:rPr>
          <w:rFonts w:cs="Arial"/>
          <w:bCs/>
          <w:lang w:val="mn-MN"/>
        </w:rPr>
      </w:pPr>
    </w:p>
    <w:p w14:paraId="3D8B1EC1" w14:textId="77777777" w:rsidR="00C10E0F" w:rsidRPr="009E2CCF" w:rsidRDefault="00C10E0F" w:rsidP="00C10E0F">
      <w:pPr>
        <w:ind w:firstLine="720"/>
        <w:jc w:val="both"/>
        <w:rPr>
          <w:rFonts w:cs="Arial"/>
          <w:b/>
          <w:bCs/>
          <w:lang w:val="mn-MN"/>
        </w:rPr>
      </w:pPr>
      <w:r w:rsidRPr="009E2CCF">
        <w:rPr>
          <w:rFonts w:cs="Arial"/>
          <w:b/>
          <w:bCs/>
          <w:lang w:val="mn-MN"/>
        </w:rPr>
        <w:t>“1 дүгээр зүйл.</w:t>
      </w:r>
      <w:r w:rsidRPr="009E2CCF">
        <w:rPr>
          <w:rFonts w:cs="Arial"/>
          <w:bCs/>
          <w:lang w:val="mn-MN"/>
        </w:rPr>
        <w:t>Монгол Улсын нэгдсэн төсвийн 2018 оны төсвийн хүрээний мэдэгдэл, 2019-2020 оны төсвийн төсөөллийн үзүүлэлтийг доор дурдсанаар баталсугай:</w:t>
      </w:r>
      <w:r w:rsidRPr="009E2CCF">
        <w:rPr>
          <w:rFonts w:cs="Arial"/>
          <w:b/>
          <w:bCs/>
          <w:lang w:val="mn-MN"/>
        </w:rPr>
        <w:tab/>
      </w:r>
      <w:r w:rsidRPr="009E2CCF">
        <w:rPr>
          <w:rFonts w:cs="Arial"/>
          <w:b/>
          <w:bCs/>
          <w:lang w:val="mn-MN"/>
        </w:rPr>
        <w:tab/>
      </w:r>
      <w:r w:rsidRPr="009E2CCF">
        <w:rPr>
          <w:rFonts w:cs="Arial"/>
          <w:b/>
          <w:bCs/>
          <w:lang w:val="mn-MN"/>
        </w:rPr>
        <w:tab/>
      </w:r>
      <w:r w:rsidRPr="009E2CCF">
        <w:rPr>
          <w:rFonts w:cs="Arial"/>
          <w:b/>
          <w:bCs/>
          <w:lang w:val="mn-MN"/>
        </w:rPr>
        <w:tab/>
      </w:r>
      <w:r w:rsidRPr="009E2CCF">
        <w:rPr>
          <w:rFonts w:cs="Arial"/>
          <w:b/>
          <w:bCs/>
          <w:lang w:val="mn-MN"/>
        </w:rPr>
        <w:tab/>
      </w:r>
    </w:p>
    <w:p w14:paraId="1D27B180" w14:textId="77777777" w:rsidR="00C10E0F" w:rsidRPr="009E2CCF" w:rsidRDefault="00C10E0F" w:rsidP="00C10E0F">
      <w:pPr>
        <w:ind w:left="4320" w:firstLine="720"/>
        <w:jc w:val="both"/>
        <w:rPr>
          <w:rFonts w:cs="Arial"/>
          <w:lang w:val="mn-MN"/>
        </w:rPr>
      </w:pPr>
    </w:p>
    <w:tbl>
      <w:tblPr>
        <w:tblW w:w="9575" w:type="dxa"/>
        <w:jc w:val="center"/>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385"/>
        <w:gridCol w:w="5252"/>
        <w:gridCol w:w="1332"/>
        <w:gridCol w:w="1350"/>
        <w:gridCol w:w="1256"/>
      </w:tblGrid>
      <w:tr w:rsidR="00C10E0F" w:rsidRPr="009E2CCF" w14:paraId="26E51E5C" w14:textId="77777777" w:rsidTr="00246B59">
        <w:trPr>
          <w:trHeight w:val="1020"/>
          <w:tblCellSpacing w:w="0" w:type="dxa"/>
          <w:jc w:val="center"/>
        </w:trPr>
        <w:tc>
          <w:tcPr>
            <w:tcW w:w="5637" w:type="dxa"/>
            <w:gridSpan w:val="2"/>
            <w:vMerge w:val="restart"/>
            <w:vAlign w:val="center"/>
            <w:hideMark/>
          </w:tcPr>
          <w:p w14:paraId="16D137BF" w14:textId="77777777" w:rsidR="00C10E0F" w:rsidRPr="009E2CCF" w:rsidRDefault="00C10E0F" w:rsidP="00246B59">
            <w:pPr>
              <w:jc w:val="center"/>
              <w:rPr>
                <w:rFonts w:cs="Arial"/>
                <w:b/>
                <w:lang w:val="mn-MN"/>
              </w:rPr>
            </w:pPr>
            <w:r w:rsidRPr="009E2CCF">
              <w:rPr>
                <w:rFonts w:cs="Arial"/>
                <w:b/>
                <w:lang w:val="mn-MN"/>
              </w:rPr>
              <w:t>Эдийн засгийн үндсэн үзүүлэлт</w:t>
            </w:r>
          </w:p>
        </w:tc>
        <w:tc>
          <w:tcPr>
            <w:tcW w:w="1332" w:type="dxa"/>
            <w:vAlign w:val="center"/>
            <w:hideMark/>
          </w:tcPr>
          <w:p w14:paraId="73544F5C" w14:textId="77777777" w:rsidR="00C10E0F" w:rsidRPr="009E2CCF" w:rsidRDefault="00C10E0F" w:rsidP="00246B59">
            <w:pPr>
              <w:jc w:val="center"/>
              <w:rPr>
                <w:rFonts w:cs="Arial"/>
                <w:b/>
                <w:lang w:val="mn-MN"/>
              </w:rPr>
            </w:pPr>
            <w:r w:rsidRPr="009E2CCF">
              <w:rPr>
                <w:rFonts w:cs="Arial"/>
                <w:b/>
                <w:lang w:val="mn-MN"/>
              </w:rPr>
              <w:t>Төсвийн хүрээний мэдэгдэл</w:t>
            </w:r>
          </w:p>
        </w:tc>
        <w:tc>
          <w:tcPr>
            <w:tcW w:w="2606" w:type="dxa"/>
            <w:gridSpan w:val="2"/>
            <w:vAlign w:val="center"/>
            <w:hideMark/>
          </w:tcPr>
          <w:p w14:paraId="04756660" w14:textId="77777777" w:rsidR="00C10E0F" w:rsidRPr="009E2CCF" w:rsidRDefault="00C10E0F" w:rsidP="00246B59">
            <w:pPr>
              <w:jc w:val="center"/>
              <w:rPr>
                <w:rFonts w:cs="Arial"/>
                <w:b/>
                <w:lang w:val="mn-MN"/>
              </w:rPr>
            </w:pPr>
            <w:r w:rsidRPr="009E2CCF">
              <w:rPr>
                <w:rFonts w:cs="Arial"/>
                <w:b/>
                <w:lang w:val="mn-MN"/>
              </w:rPr>
              <w:t>Төсвийн төсөөлөл</w:t>
            </w:r>
          </w:p>
        </w:tc>
      </w:tr>
      <w:tr w:rsidR="00C10E0F" w:rsidRPr="009E2CCF" w14:paraId="1567CBD0" w14:textId="77777777" w:rsidTr="00246B59">
        <w:trPr>
          <w:trHeight w:val="305"/>
          <w:tblCellSpacing w:w="0" w:type="dxa"/>
          <w:jc w:val="center"/>
        </w:trPr>
        <w:tc>
          <w:tcPr>
            <w:tcW w:w="5637" w:type="dxa"/>
            <w:gridSpan w:val="2"/>
            <w:vMerge/>
            <w:vAlign w:val="center"/>
            <w:hideMark/>
          </w:tcPr>
          <w:p w14:paraId="3ECA6CB7" w14:textId="77777777" w:rsidR="00C10E0F" w:rsidRPr="009E2CCF" w:rsidRDefault="00C10E0F" w:rsidP="00246B59">
            <w:pPr>
              <w:jc w:val="center"/>
              <w:rPr>
                <w:rFonts w:cs="Arial"/>
                <w:lang w:val="mn-MN"/>
              </w:rPr>
            </w:pPr>
          </w:p>
        </w:tc>
        <w:tc>
          <w:tcPr>
            <w:tcW w:w="1332" w:type="dxa"/>
            <w:vAlign w:val="center"/>
            <w:hideMark/>
          </w:tcPr>
          <w:p w14:paraId="76B97248" w14:textId="77777777" w:rsidR="00C10E0F" w:rsidRPr="009E2CCF" w:rsidRDefault="00C10E0F" w:rsidP="00246B59">
            <w:pPr>
              <w:jc w:val="center"/>
              <w:rPr>
                <w:rFonts w:cs="Arial"/>
                <w:b/>
                <w:lang w:val="mn-MN"/>
              </w:rPr>
            </w:pPr>
            <w:r w:rsidRPr="009E2CCF">
              <w:rPr>
                <w:rFonts w:cs="Arial"/>
                <w:b/>
                <w:lang w:val="mn-MN"/>
              </w:rPr>
              <w:t>2018 он</w:t>
            </w:r>
          </w:p>
        </w:tc>
        <w:tc>
          <w:tcPr>
            <w:tcW w:w="1350" w:type="dxa"/>
            <w:vAlign w:val="center"/>
            <w:hideMark/>
          </w:tcPr>
          <w:p w14:paraId="43623123" w14:textId="77777777" w:rsidR="00C10E0F" w:rsidRPr="009E2CCF" w:rsidRDefault="00C10E0F" w:rsidP="00246B59">
            <w:pPr>
              <w:jc w:val="center"/>
              <w:rPr>
                <w:rFonts w:cs="Arial"/>
                <w:b/>
                <w:lang w:val="mn-MN"/>
              </w:rPr>
            </w:pPr>
            <w:r w:rsidRPr="009E2CCF">
              <w:rPr>
                <w:rFonts w:cs="Arial"/>
                <w:b/>
                <w:lang w:val="mn-MN"/>
              </w:rPr>
              <w:t>2019 он</w:t>
            </w:r>
          </w:p>
        </w:tc>
        <w:tc>
          <w:tcPr>
            <w:tcW w:w="1256" w:type="dxa"/>
            <w:vAlign w:val="center"/>
            <w:hideMark/>
          </w:tcPr>
          <w:p w14:paraId="2903E4A8" w14:textId="77777777" w:rsidR="00C10E0F" w:rsidRPr="009E2CCF" w:rsidRDefault="00C10E0F" w:rsidP="00246B59">
            <w:pPr>
              <w:jc w:val="center"/>
              <w:rPr>
                <w:rFonts w:cs="Arial"/>
                <w:b/>
                <w:lang w:val="mn-MN"/>
              </w:rPr>
            </w:pPr>
            <w:r w:rsidRPr="009E2CCF">
              <w:rPr>
                <w:rFonts w:cs="Arial"/>
                <w:b/>
                <w:lang w:val="mn-MN"/>
              </w:rPr>
              <w:t>2020 он</w:t>
            </w:r>
          </w:p>
        </w:tc>
      </w:tr>
      <w:tr w:rsidR="00C10E0F" w:rsidRPr="009E2CCF" w14:paraId="6B5CB8FA" w14:textId="77777777" w:rsidTr="00246B59">
        <w:trPr>
          <w:trHeight w:val="680"/>
          <w:tblCellSpacing w:w="0" w:type="dxa"/>
          <w:jc w:val="center"/>
        </w:trPr>
        <w:tc>
          <w:tcPr>
            <w:tcW w:w="385" w:type="dxa"/>
            <w:vAlign w:val="center"/>
            <w:hideMark/>
          </w:tcPr>
          <w:p w14:paraId="4A02A8AE" w14:textId="77777777" w:rsidR="00C10E0F" w:rsidRPr="009E2CCF" w:rsidRDefault="00C10E0F" w:rsidP="00246B59">
            <w:pPr>
              <w:jc w:val="center"/>
              <w:rPr>
                <w:rFonts w:cs="Arial"/>
                <w:lang w:val="mn-MN"/>
              </w:rPr>
            </w:pPr>
            <w:r w:rsidRPr="009E2CCF">
              <w:rPr>
                <w:rFonts w:cs="Arial"/>
                <w:lang w:val="mn-MN"/>
              </w:rPr>
              <w:t>1</w:t>
            </w:r>
          </w:p>
        </w:tc>
        <w:tc>
          <w:tcPr>
            <w:tcW w:w="5252" w:type="dxa"/>
            <w:vAlign w:val="center"/>
            <w:hideMark/>
          </w:tcPr>
          <w:p w14:paraId="630DE4F0" w14:textId="77777777" w:rsidR="00C10E0F" w:rsidRPr="009E2CCF" w:rsidRDefault="00C10E0F" w:rsidP="00246B59">
            <w:pPr>
              <w:rPr>
                <w:rFonts w:cs="Arial"/>
                <w:lang w:val="mn-MN"/>
              </w:rPr>
            </w:pPr>
            <w:r w:rsidRPr="009E2CCF">
              <w:rPr>
                <w:rFonts w:cs="Arial"/>
                <w:lang w:val="mn-MN"/>
              </w:rPr>
              <w:t>Дотоодын нийт бүтээгдэхүүний бодит өсөлтийн хэмжээ /хувь/</w:t>
            </w:r>
          </w:p>
        </w:tc>
        <w:tc>
          <w:tcPr>
            <w:tcW w:w="1332" w:type="dxa"/>
            <w:vAlign w:val="center"/>
          </w:tcPr>
          <w:p w14:paraId="2714C134"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4.2</w:t>
            </w:r>
          </w:p>
        </w:tc>
        <w:tc>
          <w:tcPr>
            <w:tcW w:w="1350" w:type="dxa"/>
            <w:vAlign w:val="center"/>
          </w:tcPr>
          <w:p w14:paraId="62449E96"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6.0</w:t>
            </w:r>
          </w:p>
        </w:tc>
        <w:tc>
          <w:tcPr>
            <w:tcW w:w="1256" w:type="dxa"/>
            <w:vAlign w:val="center"/>
          </w:tcPr>
          <w:p w14:paraId="7D84D141"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4.5</w:t>
            </w:r>
          </w:p>
        </w:tc>
      </w:tr>
      <w:tr w:rsidR="00C10E0F" w:rsidRPr="009E2CCF" w14:paraId="7EBE0EFF" w14:textId="77777777" w:rsidTr="00246B59">
        <w:trPr>
          <w:trHeight w:val="440"/>
          <w:tblCellSpacing w:w="0" w:type="dxa"/>
          <w:jc w:val="center"/>
        </w:trPr>
        <w:tc>
          <w:tcPr>
            <w:tcW w:w="385" w:type="dxa"/>
            <w:vAlign w:val="center"/>
            <w:hideMark/>
          </w:tcPr>
          <w:p w14:paraId="5F312D27" w14:textId="77777777" w:rsidR="00C10E0F" w:rsidRPr="009E2CCF" w:rsidRDefault="00C10E0F" w:rsidP="00246B59">
            <w:pPr>
              <w:jc w:val="center"/>
              <w:rPr>
                <w:rFonts w:cs="Arial"/>
                <w:lang w:val="mn-MN"/>
              </w:rPr>
            </w:pPr>
            <w:r w:rsidRPr="009E2CCF">
              <w:rPr>
                <w:rFonts w:cs="Arial"/>
                <w:lang w:val="mn-MN"/>
              </w:rPr>
              <w:t>2</w:t>
            </w:r>
          </w:p>
        </w:tc>
        <w:tc>
          <w:tcPr>
            <w:tcW w:w="5252" w:type="dxa"/>
            <w:vAlign w:val="center"/>
            <w:hideMark/>
          </w:tcPr>
          <w:p w14:paraId="7C9E2561" w14:textId="77777777" w:rsidR="00C10E0F" w:rsidRPr="009E2CCF" w:rsidRDefault="00C10E0F" w:rsidP="00246B59">
            <w:pPr>
              <w:rPr>
                <w:rFonts w:cs="Arial"/>
                <w:lang w:val="mn-MN"/>
              </w:rPr>
            </w:pPr>
            <w:r w:rsidRPr="009E2CCF">
              <w:rPr>
                <w:rFonts w:cs="Arial"/>
                <w:lang w:val="mn-MN"/>
              </w:rPr>
              <w:t>Хэрэглээний үнийн индексийн түвшин</w:t>
            </w:r>
          </w:p>
        </w:tc>
        <w:tc>
          <w:tcPr>
            <w:tcW w:w="1332" w:type="dxa"/>
            <w:vAlign w:val="center"/>
          </w:tcPr>
          <w:p w14:paraId="5A0CEFE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8.6</w:t>
            </w:r>
          </w:p>
        </w:tc>
        <w:tc>
          <w:tcPr>
            <w:tcW w:w="1350" w:type="dxa"/>
            <w:vAlign w:val="center"/>
          </w:tcPr>
          <w:p w14:paraId="3D5B451C"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8.0</w:t>
            </w:r>
          </w:p>
        </w:tc>
        <w:tc>
          <w:tcPr>
            <w:tcW w:w="1256" w:type="dxa"/>
            <w:vAlign w:val="center"/>
          </w:tcPr>
          <w:p w14:paraId="717709C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8.0</w:t>
            </w:r>
          </w:p>
        </w:tc>
      </w:tr>
      <w:tr w:rsidR="00C10E0F" w:rsidRPr="009E2CCF" w14:paraId="5B73FCB0" w14:textId="77777777" w:rsidTr="00246B59">
        <w:trPr>
          <w:trHeight w:val="680"/>
          <w:tblCellSpacing w:w="0" w:type="dxa"/>
          <w:jc w:val="center"/>
        </w:trPr>
        <w:tc>
          <w:tcPr>
            <w:tcW w:w="385" w:type="dxa"/>
            <w:vMerge w:val="restart"/>
            <w:vAlign w:val="center"/>
            <w:hideMark/>
          </w:tcPr>
          <w:p w14:paraId="5C523D67" w14:textId="77777777" w:rsidR="00C10E0F" w:rsidRPr="009E2CCF" w:rsidRDefault="00C10E0F" w:rsidP="00246B59">
            <w:pPr>
              <w:jc w:val="center"/>
              <w:rPr>
                <w:rFonts w:cs="Arial"/>
                <w:lang w:val="mn-MN"/>
              </w:rPr>
            </w:pPr>
            <w:r w:rsidRPr="009E2CCF">
              <w:rPr>
                <w:rFonts w:cs="Arial"/>
                <w:lang w:val="mn-MN"/>
              </w:rPr>
              <w:t>3</w:t>
            </w:r>
          </w:p>
        </w:tc>
        <w:tc>
          <w:tcPr>
            <w:tcW w:w="5252" w:type="dxa"/>
            <w:vAlign w:val="center"/>
            <w:hideMark/>
          </w:tcPr>
          <w:p w14:paraId="5A0A807E" w14:textId="77777777" w:rsidR="00C10E0F" w:rsidRPr="009E2CCF" w:rsidRDefault="00C10E0F" w:rsidP="00246B59">
            <w:pPr>
              <w:rPr>
                <w:rFonts w:cs="Arial"/>
                <w:lang w:val="mn-MN"/>
              </w:rPr>
            </w:pPr>
            <w:r w:rsidRPr="009E2CCF">
              <w:rPr>
                <w:rFonts w:cs="Arial"/>
                <w:lang w:val="mn-MN"/>
              </w:rPr>
              <w:t>Нэгдсэн төсвийн тэнцвэржүүлсэн орлогын хэмжээ /тэрбум төгрөг/</w:t>
            </w:r>
          </w:p>
        </w:tc>
        <w:tc>
          <w:tcPr>
            <w:tcW w:w="1332" w:type="dxa"/>
            <w:vAlign w:val="center"/>
          </w:tcPr>
          <w:p w14:paraId="5FF04713"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7,231.4</w:t>
            </w:r>
          </w:p>
        </w:tc>
        <w:tc>
          <w:tcPr>
            <w:tcW w:w="1350" w:type="dxa"/>
            <w:vAlign w:val="center"/>
          </w:tcPr>
          <w:p w14:paraId="1FE393EC"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8,217.5</w:t>
            </w:r>
          </w:p>
        </w:tc>
        <w:tc>
          <w:tcPr>
            <w:tcW w:w="1256" w:type="dxa"/>
            <w:vAlign w:val="center"/>
          </w:tcPr>
          <w:p w14:paraId="78AE8D69"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9,110.7</w:t>
            </w:r>
          </w:p>
        </w:tc>
      </w:tr>
      <w:tr w:rsidR="00C10E0F" w:rsidRPr="009E2CCF" w14:paraId="1B131FFC" w14:textId="77777777" w:rsidTr="00246B59">
        <w:trPr>
          <w:trHeight w:val="368"/>
          <w:tblCellSpacing w:w="0" w:type="dxa"/>
          <w:jc w:val="center"/>
        </w:trPr>
        <w:tc>
          <w:tcPr>
            <w:tcW w:w="385" w:type="dxa"/>
            <w:vMerge/>
            <w:vAlign w:val="center"/>
            <w:hideMark/>
          </w:tcPr>
          <w:p w14:paraId="0BB1DC69" w14:textId="77777777" w:rsidR="00C10E0F" w:rsidRPr="009E2CCF" w:rsidRDefault="00C10E0F" w:rsidP="00246B59">
            <w:pPr>
              <w:jc w:val="center"/>
              <w:rPr>
                <w:rFonts w:cs="Arial"/>
                <w:lang w:val="mn-MN"/>
              </w:rPr>
            </w:pPr>
          </w:p>
        </w:tc>
        <w:tc>
          <w:tcPr>
            <w:tcW w:w="5252" w:type="dxa"/>
            <w:vAlign w:val="center"/>
            <w:hideMark/>
          </w:tcPr>
          <w:p w14:paraId="41614DE9"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4CF6AC1A"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23.8</w:t>
            </w:r>
          </w:p>
        </w:tc>
        <w:tc>
          <w:tcPr>
            <w:tcW w:w="1350" w:type="dxa"/>
            <w:vAlign w:val="center"/>
          </w:tcPr>
          <w:p w14:paraId="2E352DB9"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24.2</w:t>
            </w:r>
          </w:p>
        </w:tc>
        <w:tc>
          <w:tcPr>
            <w:tcW w:w="1256" w:type="dxa"/>
            <w:vAlign w:val="center"/>
          </w:tcPr>
          <w:p w14:paraId="4927E899"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24.3</w:t>
            </w:r>
          </w:p>
        </w:tc>
      </w:tr>
      <w:tr w:rsidR="00C10E0F" w:rsidRPr="009E2CCF" w14:paraId="0F8395D2" w14:textId="77777777" w:rsidTr="00246B59">
        <w:trPr>
          <w:trHeight w:val="680"/>
          <w:tblCellSpacing w:w="0" w:type="dxa"/>
          <w:jc w:val="center"/>
        </w:trPr>
        <w:tc>
          <w:tcPr>
            <w:tcW w:w="385" w:type="dxa"/>
            <w:vMerge w:val="restart"/>
            <w:vAlign w:val="center"/>
            <w:hideMark/>
          </w:tcPr>
          <w:p w14:paraId="47BEB753" w14:textId="77777777" w:rsidR="00C10E0F" w:rsidRPr="009E2CCF" w:rsidRDefault="00C10E0F" w:rsidP="00246B59">
            <w:pPr>
              <w:jc w:val="center"/>
              <w:rPr>
                <w:rFonts w:cs="Arial"/>
                <w:lang w:val="mn-MN"/>
              </w:rPr>
            </w:pPr>
            <w:r w:rsidRPr="009E2CCF">
              <w:rPr>
                <w:rFonts w:cs="Arial"/>
                <w:lang w:val="mn-MN"/>
              </w:rPr>
              <w:t>4</w:t>
            </w:r>
          </w:p>
        </w:tc>
        <w:tc>
          <w:tcPr>
            <w:tcW w:w="5252" w:type="dxa"/>
            <w:vAlign w:val="center"/>
            <w:hideMark/>
          </w:tcPr>
          <w:p w14:paraId="7A8BCE81" w14:textId="77777777" w:rsidR="00C10E0F" w:rsidRPr="009E2CCF" w:rsidRDefault="00C10E0F" w:rsidP="00246B59">
            <w:pPr>
              <w:rPr>
                <w:rFonts w:cs="Arial"/>
                <w:lang w:val="mn-MN"/>
              </w:rPr>
            </w:pPr>
            <w:r w:rsidRPr="009E2CCF">
              <w:rPr>
                <w:rFonts w:cs="Arial"/>
                <w:lang w:val="mn-MN"/>
              </w:rPr>
              <w:t>Нэгдсэн төсвийн нийт зарлагын дээд хэмжээ /тэрбум төгрөг/</w:t>
            </w:r>
          </w:p>
        </w:tc>
        <w:tc>
          <w:tcPr>
            <w:tcW w:w="1332" w:type="dxa"/>
            <w:vAlign w:val="center"/>
          </w:tcPr>
          <w:p w14:paraId="607E2585"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9,651.9</w:t>
            </w:r>
          </w:p>
        </w:tc>
        <w:tc>
          <w:tcPr>
            <w:tcW w:w="1350" w:type="dxa"/>
            <w:vAlign w:val="center"/>
          </w:tcPr>
          <w:p w14:paraId="6272467E"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10,323.3</w:t>
            </w:r>
          </w:p>
        </w:tc>
        <w:tc>
          <w:tcPr>
            <w:tcW w:w="1256" w:type="dxa"/>
            <w:vAlign w:val="center"/>
          </w:tcPr>
          <w:p w14:paraId="55072E2F"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10,790.9</w:t>
            </w:r>
          </w:p>
        </w:tc>
      </w:tr>
      <w:tr w:rsidR="00C10E0F" w:rsidRPr="009E2CCF" w14:paraId="5F9A3E98" w14:textId="77777777" w:rsidTr="00246B59">
        <w:trPr>
          <w:trHeight w:val="458"/>
          <w:tblCellSpacing w:w="0" w:type="dxa"/>
          <w:jc w:val="center"/>
        </w:trPr>
        <w:tc>
          <w:tcPr>
            <w:tcW w:w="385" w:type="dxa"/>
            <w:vMerge/>
            <w:vAlign w:val="center"/>
            <w:hideMark/>
          </w:tcPr>
          <w:p w14:paraId="46175D79" w14:textId="77777777" w:rsidR="00C10E0F" w:rsidRPr="009E2CCF" w:rsidRDefault="00C10E0F" w:rsidP="00246B59">
            <w:pPr>
              <w:jc w:val="center"/>
              <w:rPr>
                <w:rFonts w:cs="Arial"/>
                <w:lang w:val="mn-MN"/>
              </w:rPr>
            </w:pPr>
          </w:p>
        </w:tc>
        <w:tc>
          <w:tcPr>
            <w:tcW w:w="5252" w:type="dxa"/>
            <w:vAlign w:val="center"/>
            <w:hideMark/>
          </w:tcPr>
          <w:p w14:paraId="0969D00A"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3B5EC462"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31.8</w:t>
            </w:r>
          </w:p>
        </w:tc>
        <w:tc>
          <w:tcPr>
            <w:tcW w:w="1350" w:type="dxa"/>
            <w:vAlign w:val="center"/>
          </w:tcPr>
          <w:p w14:paraId="3DA0B8A5"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30.4</w:t>
            </w:r>
          </w:p>
        </w:tc>
        <w:tc>
          <w:tcPr>
            <w:tcW w:w="1256" w:type="dxa"/>
            <w:vAlign w:val="center"/>
          </w:tcPr>
          <w:p w14:paraId="59D8720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28.7</w:t>
            </w:r>
          </w:p>
        </w:tc>
      </w:tr>
      <w:tr w:rsidR="00C10E0F" w:rsidRPr="009E2CCF" w14:paraId="2095A15D" w14:textId="77777777" w:rsidTr="00246B59">
        <w:trPr>
          <w:trHeight w:val="700"/>
          <w:tblCellSpacing w:w="0" w:type="dxa"/>
          <w:jc w:val="center"/>
        </w:trPr>
        <w:tc>
          <w:tcPr>
            <w:tcW w:w="385" w:type="dxa"/>
            <w:vMerge w:val="restart"/>
            <w:vAlign w:val="center"/>
            <w:hideMark/>
          </w:tcPr>
          <w:p w14:paraId="3B6029D5" w14:textId="77777777" w:rsidR="00C10E0F" w:rsidRPr="009E2CCF" w:rsidRDefault="00C10E0F" w:rsidP="00246B59">
            <w:pPr>
              <w:jc w:val="center"/>
              <w:rPr>
                <w:rFonts w:cs="Arial"/>
                <w:lang w:val="mn-MN"/>
              </w:rPr>
            </w:pPr>
            <w:r w:rsidRPr="009E2CCF">
              <w:rPr>
                <w:rFonts w:cs="Arial"/>
                <w:lang w:val="mn-MN"/>
              </w:rPr>
              <w:t>5</w:t>
            </w:r>
          </w:p>
        </w:tc>
        <w:tc>
          <w:tcPr>
            <w:tcW w:w="5252" w:type="dxa"/>
            <w:vAlign w:val="center"/>
            <w:hideMark/>
          </w:tcPr>
          <w:p w14:paraId="73319755" w14:textId="77777777" w:rsidR="00C10E0F" w:rsidRPr="009E2CCF" w:rsidRDefault="00C10E0F" w:rsidP="00246B59">
            <w:pPr>
              <w:rPr>
                <w:rFonts w:cs="Arial"/>
                <w:lang w:val="mn-MN"/>
              </w:rPr>
            </w:pPr>
            <w:r w:rsidRPr="009E2CCF">
              <w:rPr>
                <w:rFonts w:cs="Arial"/>
                <w:lang w:val="mn-MN"/>
              </w:rPr>
              <w:t>Нэгдсэн төсвийн нийт зарлагын өсөлтийн хэмжээ /тэрбум төгрөг/</w:t>
            </w:r>
          </w:p>
        </w:tc>
        <w:tc>
          <w:tcPr>
            <w:tcW w:w="1332" w:type="dxa"/>
            <w:vAlign w:val="center"/>
          </w:tcPr>
          <w:p w14:paraId="5087989B"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497.3</w:t>
            </w:r>
          </w:p>
        </w:tc>
        <w:tc>
          <w:tcPr>
            <w:tcW w:w="1350" w:type="dxa"/>
            <w:vAlign w:val="center"/>
          </w:tcPr>
          <w:p w14:paraId="7CF64E8B"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671.5</w:t>
            </w:r>
          </w:p>
        </w:tc>
        <w:tc>
          <w:tcPr>
            <w:tcW w:w="1256" w:type="dxa"/>
            <w:vAlign w:val="center"/>
          </w:tcPr>
          <w:p w14:paraId="10301B57"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467.5</w:t>
            </w:r>
          </w:p>
        </w:tc>
      </w:tr>
      <w:tr w:rsidR="00C10E0F" w:rsidRPr="009E2CCF" w14:paraId="6A2CF229" w14:textId="77777777" w:rsidTr="00246B59">
        <w:trPr>
          <w:trHeight w:val="422"/>
          <w:tblCellSpacing w:w="0" w:type="dxa"/>
          <w:jc w:val="center"/>
        </w:trPr>
        <w:tc>
          <w:tcPr>
            <w:tcW w:w="385" w:type="dxa"/>
            <w:vMerge/>
            <w:vAlign w:val="center"/>
            <w:hideMark/>
          </w:tcPr>
          <w:p w14:paraId="275C2E93" w14:textId="77777777" w:rsidR="00C10E0F" w:rsidRPr="009E2CCF" w:rsidRDefault="00C10E0F" w:rsidP="00246B59">
            <w:pPr>
              <w:jc w:val="center"/>
              <w:rPr>
                <w:rFonts w:cs="Arial"/>
                <w:lang w:val="mn-MN"/>
              </w:rPr>
            </w:pPr>
          </w:p>
        </w:tc>
        <w:tc>
          <w:tcPr>
            <w:tcW w:w="5252" w:type="dxa"/>
            <w:vAlign w:val="center"/>
            <w:hideMark/>
          </w:tcPr>
          <w:p w14:paraId="16738350"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68815998"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1.6</w:t>
            </w:r>
          </w:p>
        </w:tc>
        <w:tc>
          <w:tcPr>
            <w:tcW w:w="1350" w:type="dxa"/>
            <w:vAlign w:val="center"/>
          </w:tcPr>
          <w:p w14:paraId="45570BA3"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2.0</w:t>
            </w:r>
          </w:p>
        </w:tc>
        <w:tc>
          <w:tcPr>
            <w:tcW w:w="1256" w:type="dxa"/>
            <w:vAlign w:val="center"/>
          </w:tcPr>
          <w:p w14:paraId="376649E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1.2</w:t>
            </w:r>
          </w:p>
        </w:tc>
      </w:tr>
      <w:tr w:rsidR="00C10E0F" w:rsidRPr="009E2CCF" w14:paraId="2E149181" w14:textId="77777777" w:rsidTr="00246B59">
        <w:trPr>
          <w:trHeight w:val="680"/>
          <w:tblCellSpacing w:w="0" w:type="dxa"/>
          <w:jc w:val="center"/>
        </w:trPr>
        <w:tc>
          <w:tcPr>
            <w:tcW w:w="385" w:type="dxa"/>
            <w:vMerge w:val="restart"/>
            <w:vAlign w:val="center"/>
            <w:hideMark/>
          </w:tcPr>
          <w:p w14:paraId="5952FC4A" w14:textId="77777777" w:rsidR="00C10E0F" w:rsidRPr="009E2CCF" w:rsidRDefault="00C10E0F" w:rsidP="00246B59">
            <w:pPr>
              <w:jc w:val="center"/>
              <w:rPr>
                <w:rFonts w:cs="Arial"/>
                <w:lang w:val="mn-MN"/>
              </w:rPr>
            </w:pPr>
            <w:r w:rsidRPr="009E2CCF">
              <w:rPr>
                <w:rFonts w:cs="Arial"/>
                <w:lang w:val="mn-MN"/>
              </w:rPr>
              <w:t>6</w:t>
            </w:r>
          </w:p>
        </w:tc>
        <w:tc>
          <w:tcPr>
            <w:tcW w:w="5252" w:type="dxa"/>
            <w:vAlign w:val="center"/>
            <w:hideMark/>
          </w:tcPr>
          <w:p w14:paraId="5FA58437" w14:textId="77777777" w:rsidR="00C10E0F" w:rsidRPr="009E2CCF" w:rsidRDefault="00C10E0F" w:rsidP="00246B59">
            <w:pPr>
              <w:rPr>
                <w:rFonts w:cs="Arial"/>
                <w:lang w:val="mn-MN"/>
              </w:rPr>
            </w:pPr>
            <w:r w:rsidRPr="009E2CCF">
              <w:rPr>
                <w:rFonts w:cs="Arial"/>
                <w:lang w:val="mn-MN"/>
              </w:rPr>
              <w:t>Нэгдсэн төсвийн тэнцвэржүүлсэн тэнцэл /тэрбум төгрөг/</w:t>
            </w:r>
          </w:p>
        </w:tc>
        <w:tc>
          <w:tcPr>
            <w:tcW w:w="1332" w:type="dxa"/>
            <w:vAlign w:val="center"/>
          </w:tcPr>
          <w:p w14:paraId="6BCE09F2"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-2,420.4</w:t>
            </w:r>
          </w:p>
        </w:tc>
        <w:tc>
          <w:tcPr>
            <w:tcW w:w="1350" w:type="dxa"/>
            <w:vAlign w:val="center"/>
          </w:tcPr>
          <w:p w14:paraId="5A606C31"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-2,105.8</w:t>
            </w:r>
          </w:p>
        </w:tc>
        <w:tc>
          <w:tcPr>
            <w:tcW w:w="1256" w:type="dxa"/>
            <w:vAlign w:val="center"/>
          </w:tcPr>
          <w:p w14:paraId="40238791"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-1,680.1</w:t>
            </w:r>
          </w:p>
        </w:tc>
      </w:tr>
      <w:tr w:rsidR="00C10E0F" w:rsidRPr="009E2CCF" w14:paraId="14DD7F41" w14:textId="77777777" w:rsidTr="00246B59">
        <w:trPr>
          <w:trHeight w:val="350"/>
          <w:tblCellSpacing w:w="0" w:type="dxa"/>
          <w:jc w:val="center"/>
        </w:trPr>
        <w:tc>
          <w:tcPr>
            <w:tcW w:w="385" w:type="dxa"/>
            <w:vMerge/>
            <w:vAlign w:val="center"/>
            <w:hideMark/>
          </w:tcPr>
          <w:p w14:paraId="661ED4CF" w14:textId="77777777" w:rsidR="00C10E0F" w:rsidRPr="009E2CCF" w:rsidRDefault="00C10E0F" w:rsidP="00246B59">
            <w:pPr>
              <w:jc w:val="center"/>
              <w:rPr>
                <w:rFonts w:cs="Arial"/>
                <w:lang w:val="mn-MN"/>
              </w:rPr>
            </w:pPr>
          </w:p>
        </w:tc>
        <w:tc>
          <w:tcPr>
            <w:tcW w:w="5252" w:type="dxa"/>
            <w:vAlign w:val="center"/>
            <w:hideMark/>
          </w:tcPr>
          <w:p w14:paraId="47D6E5F6"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1A40E343"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-8.0</w:t>
            </w:r>
          </w:p>
        </w:tc>
        <w:tc>
          <w:tcPr>
            <w:tcW w:w="1350" w:type="dxa"/>
            <w:vAlign w:val="center"/>
          </w:tcPr>
          <w:p w14:paraId="465B5376"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-6.2</w:t>
            </w:r>
          </w:p>
        </w:tc>
        <w:tc>
          <w:tcPr>
            <w:tcW w:w="1256" w:type="dxa"/>
            <w:vAlign w:val="center"/>
          </w:tcPr>
          <w:p w14:paraId="389DB2B4"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-4.5</w:t>
            </w:r>
          </w:p>
        </w:tc>
      </w:tr>
      <w:tr w:rsidR="00C10E0F" w:rsidRPr="009E2CCF" w14:paraId="2851E112" w14:textId="77777777" w:rsidTr="00246B59">
        <w:trPr>
          <w:trHeight w:val="680"/>
          <w:tblCellSpacing w:w="0" w:type="dxa"/>
          <w:jc w:val="center"/>
        </w:trPr>
        <w:tc>
          <w:tcPr>
            <w:tcW w:w="385" w:type="dxa"/>
            <w:vMerge w:val="restart"/>
            <w:vAlign w:val="center"/>
            <w:hideMark/>
          </w:tcPr>
          <w:p w14:paraId="1067AE9E" w14:textId="77777777" w:rsidR="00C10E0F" w:rsidRPr="009E2CCF" w:rsidRDefault="00C10E0F" w:rsidP="00246B59">
            <w:pPr>
              <w:jc w:val="center"/>
              <w:rPr>
                <w:rFonts w:cs="Arial"/>
                <w:lang w:val="mn-MN"/>
              </w:rPr>
            </w:pPr>
            <w:r w:rsidRPr="009E2CCF">
              <w:rPr>
                <w:rFonts w:cs="Arial"/>
                <w:lang w:val="mn-MN"/>
              </w:rPr>
              <w:lastRenderedPageBreak/>
              <w:t>7</w:t>
            </w:r>
          </w:p>
        </w:tc>
        <w:tc>
          <w:tcPr>
            <w:tcW w:w="5252" w:type="dxa"/>
            <w:vAlign w:val="center"/>
            <w:hideMark/>
          </w:tcPr>
          <w:p w14:paraId="74A29A3E" w14:textId="77777777" w:rsidR="00C10E0F" w:rsidRPr="009E2CCF" w:rsidRDefault="00C10E0F" w:rsidP="00246B59">
            <w:pPr>
              <w:rPr>
                <w:rFonts w:cs="Arial"/>
                <w:lang w:val="mn-MN"/>
              </w:rPr>
            </w:pPr>
            <w:r w:rsidRPr="009E2CCF">
              <w:rPr>
                <w:rFonts w:cs="Arial"/>
                <w:lang w:val="mn-MN"/>
              </w:rPr>
              <w:t>Нэгдсэн төсвийн хөрөнгийн зардлын хэмжээ /тэрбум төгрөг/</w:t>
            </w:r>
          </w:p>
        </w:tc>
        <w:tc>
          <w:tcPr>
            <w:tcW w:w="1332" w:type="dxa"/>
            <w:vAlign w:val="center"/>
          </w:tcPr>
          <w:p w14:paraId="1D043B3B"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1,989.5</w:t>
            </w:r>
          </w:p>
        </w:tc>
        <w:tc>
          <w:tcPr>
            <w:tcW w:w="1350" w:type="dxa"/>
            <w:vAlign w:val="center"/>
          </w:tcPr>
          <w:p w14:paraId="4660FFE7"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1,979.4</w:t>
            </w:r>
          </w:p>
        </w:tc>
        <w:tc>
          <w:tcPr>
            <w:tcW w:w="1256" w:type="dxa"/>
            <w:vAlign w:val="center"/>
          </w:tcPr>
          <w:p w14:paraId="124626F9"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2,290.4</w:t>
            </w:r>
          </w:p>
        </w:tc>
      </w:tr>
      <w:tr w:rsidR="00C10E0F" w:rsidRPr="009E2CCF" w14:paraId="39ED57C9" w14:textId="77777777" w:rsidTr="00246B59">
        <w:trPr>
          <w:trHeight w:val="440"/>
          <w:tblCellSpacing w:w="0" w:type="dxa"/>
          <w:jc w:val="center"/>
        </w:trPr>
        <w:tc>
          <w:tcPr>
            <w:tcW w:w="385" w:type="dxa"/>
            <w:vMerge/>
            <w:vAlign w:val="center"/>
            <w:hideMark/>
          </w:tcPr>
          <w:p w14:paraId="6834355F" w14:textId="77777777" w:rsidR="00C10E0F" w:rsidRPr="009E2CCF" w:rsidRDefault="00C10E0F" w:rsidP="00246B59">
            <w:pPr>
              <w:jc w:val="center"/>
              <w:rPr>
                <w:rFonts w:cs="Arial"/>
                <w:lang w:val="mn-MN"/>
              </w:rPr>
            </w:pPr>
          </w:p>
        </w:tc>
        <w:tc>
          <w:tcPr>
            <w:tcW w:w="5252" w:type="dxa"/>
            <w:vAlign w:val="center"/>
            <w:hideMark/>
          </w:tcPr>
          <w:p w14:paraId="35F06271"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61FD563A"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6.5</w:t>
            </w:r>
          </w:p>
        </w:tc>
        <w:tc>
          <w:tcPr>
            <w:tcW w:w="1350" w:type="dxa"/>
            <w:vAlign w:val="center"/>
          </w:tcPr>
          <w:p w14:paraId="4EE1CC5B"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5.8</w:t>
            </w:r>
          </w:p>
        </w:tc>
        <w:tc>
          <w:tcPr>
            <w:tcW w:w="1256" w:type="dxa"/>
            <w:vAlign w:val="center"/>
          </w:tcPr>
          <w:p w14:paraId="47699E5E"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6.1</w:t>
            </w:r>
          </w:p>
        </w:tc>
      </w:tr>
      <w:tr w:rsidR="00C10E0F" w:rsidRPr="009E2CCF" w14:paraId="7C43E19A" w14:textId="77777777" w:rsidTr="00246B59">
        <w:trPr>
          <w:trHeight w:val="680"/>
          <w:tblCellSpacing w:w="0" w:type="dxa"/>
          <w:jc w:val="center"/>
        </w:trPr>
        <w:tc>
          <w:tcPr>
            <w:tcW w:w="385" w:type="dxa"/>
            <w:vMerge w:val="restart"/>
            <w:vAlign w:val="center"/>
            <w:hideMark/>
          </w:tcPr>
          <w:p w14:paraId="614D997A" w14:textId="77777777" w:rsidR="00C10E0F" w:rsidRPr="009E2CCF" w:rsidRDefault="00C10E0F" w:rsidP="00246B59">
            <w:pPr>
              <w:jc w:val="center"/>
              <w:rPr>
                <w:rFonts w:cs="Arial"/>
                <w:lang w:val="mn-MN"/>
              </w:rPr>
            </w:pPr>
            <w:r w:rsidRPr="009E2CCF">
              <w:rPr>
                <w:rFonts w:cs="Arial"/>
                <w:lang w:val="mn-MN"/>
              </w:rPr>
              <w:t>8</w:t>
            </w:r>
          </w:p>
        </w:tc>
        <w:tc>
          <w:tcPr>
            <w:tcW w:w="5252" w:type="dxa"/>
            <w:vAlign w:val="center"/>
            <w:hideMark/>
          </w:tcPr>
          <w:p w14:paraId="7905C6E4" w14:textId="77777777" w:rsidR="00C10E0F" w:rsidRPr="009E2CCF" w:rsidRDefault="00C10E0F" w:rsidP="00246B59">
            <w:pPr>
              <w:rPr>
                <w:rFonts w:cs="Arial"/>
                <w:lang w:val="mn-MN"/>
              </w:rPr>
            </w:pPr>
            <w:r w:rsidRPr="009E2CCF">
              <w:rPr>
                <w:rFonts w:cs="Arial"/>
                <w:lang w:val="mn-MN"/>
              </w:rPr>
              <w:t>Засгийн газрын өрийн нийт хэмжээ, өнөөгийн үнэ цэнээр /тэрбум төгрөг/</w:t>
            </w:r>
          </w:p>
        </w:tc>
        <w:tc>
          <w:tcPr>
            <w:tcW w:w="1332" w:type="dxa"/>
            <w:vAlign w:val="center"/>
          </w:tcPr>
          <w:p w14:paraId="6DAC1668"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24,309.6</w:t>
            </w:r>
          </w:p>
        </w:tc>
        <w:tc>
          <w:tcPr>
            <w:tcW w:w="1350" w:type="dxa"/>
            <w:vAlign w:val="center"/>
          </w:tcPr>
          <w:p w14:paraId="7DE47E1A"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25,428.8</w:t>
            </w:r>
          </w:p>
        </w:tc>
        <w:tc>
          <w:tcPr>
            <w:tcW w:w="1256" w:type="dxa"/>
            <w:vAlign w:val="center"/>
          </w:tcPr>
          <w:p w14:paraId="41C6A20F"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26,296.2</w:t>
            </w:r>
          </w:p>
        </w:tc>
      </w:tr>
      <w:tr w:rsidR="00C10E0F" w:rsidRPr="009E2CCF" w14:paraId="77B474C1" w14:textId="77777777" w:rsidTr="00246B59">
        <w:trPr>
          <w:trHeight w:val="368"/>
          <w:tblCellSpacing w:w="0" w:type="dxa"/>
          <w:jc w:val="center"/>
        </w:trPr>
        <w:tc>
          <w:tcPr>
            <w:tcW w:w="385" w:type="dxa"/>
            <w:vMerge/>
            <w:vAlign w:val="center"/>
            <w:hideMark/>
          </w:tcPr>
          <w:p w14:paraId="5332CE13" w14:textId="77777777" w:rsidR="00C10E0F" w:rsidRPr="009E2CCF" w:rsidRDefault="00C10E0F" w:rsidP="00246B59">
            <w:pPr>
              <w:jc w:val="center"/>
              <w:rPr>
                <w:rFonts w:cs="Arial"/>
                <w:lang w:val="mn-MN"/>
              </w:rPr>
            </w:pPr>
          </w:p>
        </w:tc>
        <w:tc>
          <w:tcPr>
            <w:tcW w:w="5252" w:type="dxa"/>
            <w:vAlign w:val="center"/>
            <w:hideMark/>
          </w:tcPr>
          <w:p w14:paraId="5F1895ED"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4D3C9BEF"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80.0</w:t>
            </w:r>
          </w:p>
        </w:tc>
        <w:tc>
          <w:tcPr>
            <w:tcW w:w="1350" w:type="dxa"/>
            <w:vAlign w:val="center"/>
          </w:tcPr>
          <w:p w14:paraId="2936FCD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75.0</w:t>
            </w:r>
          </w:p>
        </w:tc>
        <w:tc>
          <w:tcPr>
            <w:tcW w:w="1256" w:type="dxa"/>
            <w:vAlign w:val="center"/>
          </w:tcPr>
          <w:p w14:paraId="3D8D7B00"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70.0</w:t>
            </w:r>
          </w:p>
        </w:tc>
      </w:tr>
      <w:tr w:rsidR="00C10E0F" w:rsidRPr="009E2CCF" w14:paraId="076B6E5F" w14:textId="77777777" w:rsidTr="00246B59">
        <w:trPr>
          <w:trHeight w:val="1020"/>
          <w:tblCellSpacing w:w="0" w:type="dxa"/>
          <w:jc w:val="center"/>
        </w:trPr>
        <w:tc>
          <w:tcPr>
            <w:tcW w:w="385" w:type="dxa"/>
            <w:vMerge w:val="restart"/>
            <w:vAlign w:val="center"/>
            <w:hideMark/>
          </w:tcPr>
          <w:p w14:paraId="60F0146F" w14:textId="77777777" w:rsidR="00C10E0F" w:rsidRPr="009E2CCF" w:rsidRDefault="00C10E0F" w:rsidP="00246B59">
            <w:pPr>
              <w:jc w:val="center"/>
              <w:rPr>
                <w:rFonts w:cs="Arial"/>
                <w:lang w:val="mn-MN"/>
              </w:rPr>
            </w:pPr>
            <w:r w:rsidRPr="009E2CCF">
              <w:rPr>
                <w:rFonts w:cs="Arial"/>
                <w:lang w:val="mn-MN"/>
              </w:rPr>
              <w:t>9</w:t>
            </w:r>
          </w:p>
        </w:tc>
        <w:tc>
          <w:tcPr>
            <w:tcW w:w="5252" w:type="dxa"/>
            <w:vAlign w:val="center"/>
            <w:hideMark/>
          </w:tcPr>
          <w:p w14:paraId="754CDE22" w14:textId="77777777" w:rsidR="00C10E0F" w:rsidRPr="009E2CCF" w:rsidRDefault="00C10E0F" w:rsidP="00246B59">
            <w:pPr>
              <w:rPr>
                <w:rFonts w:cs="Arial"/>
                <w:lang w:val="mn-MN"/>
              </w:rPr>
            </w:pPr>
            <w:r w:rsidRPr="009E2CCF">
              <w:rPr>
                <w:rFonts w:cs="Arial"/>
                <w:lang w:val="mn-MN"/>
              </w:rPr>
              <w:t>Нийгмийн халамжийн тухай хуульд заасны дагуу төсвөөс санхүүжүүлэх зардлын нийт хэмжээ /тэрбум төгрөг/</w:t>
            </w:r>
          </w:p>
        </w:tc>
        <w:tc>
          <w:tcPr>
            <w:tcW w:w="1332" w:type="dxa"/>
            <w:vAlign w:val="center"/>
          </w:tcPr>
          <w:p w14:paraId="20F2A934"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646.0</w:t>
            </w:r>
          </w:p>
        </w:tc>
        <w:tc>
          <w:tcPr>
            <w:tcW w:w="1350" w:type="dxa"/>
            <w:vAlign w:val="center"/>
          </w:tcPr>
          <w:p w14:paraId="1851E445" w14:textId="77777777" w:rsidR="00C10E0F" w:rsidRPr="009E2CCF" w:rsidRDefault="00C10E0F" w:rsidP="00246B59">
            <w:pPr>
              <w:ind w:left="2160" w:hanging="2160"/>
              <w:jc w:val="right"/>
              <w:rPr>
                <w:rFonts w:cs="Arial"/>
                <w:color w:val="000000"/>
                <w:szCs w:val="22"/>
                <w:lang w:val="mn-MN"/>
              </w:rPr>
            </w:pPr>
            <w:r w:rsidRPr="009E2CCF">
              <w:rPr>
                <w:rFonts w:cs="Arial"/>
                <w:color w:val="000000"/>
                <w:szCs w:val="22"/>
                <w:lang w:val="mn-MN"/>
              </w:rPr>
              <w:t>690.5</w:t>
            </w:r>
          </w:p>
        </w:tc>
        <w:tc>
          <w:tcPr>
            <w:tcW w:w="1256" w:type="dxa"/>
            <w:vAlign w:val="center"/>
          </w:tcPr>
          <w:p w14:paraId="18AEDD45"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735.4</w:t>
            </w:r>
          </w:p>
        </w:tc>
      </w:tr>
      <w:tr w:rsidR="00C10E0F" w:rsidRPr="009E2CCF" w14:paraId="636AD81D" w14:textId="77777777" w:rsidTr="00246B59">
        <w:trPr>
          <w:trHeight w:val="368"/>
          <w:tblCellSpacing w:w="0" w:type="dxa"/>
          <w:jc w:val="center"/>
        </w:trPr>
        <w:tc>
          <w:tcPr>
            <w:tcW w:w="385" w:type="dxa"/>
            <w:vMerge/>
            <w:vAlign w:val="center"/>
            <w:hideMark/>
          </w:tcPr>
          <w:p w14:paraId="3F75DEDF" w14:textId="77777777" w:rsidR="00C10E0F" w:rsidRPr="009E2CCF" w:rsidRDefault="00C10E0F" w:rsidP="00246B59">
            <w:pPr>
              <w:rPr>
                <w:rFonts w:cs="Arial"/>
                <w:lang w:val="mn-MN"/>
              </w:rPr>
            </w:pPr>
          </w:p>
        </w:tc>
        <w:tc>
          <w:tcPr>
            <w:tcW w:w="5252" w:type="dxa"/>
            <w:vAlign w:val="center"/>
            <w:hideMark/>
          </w:tcPr>
          <w:p w14:paraId="27F3D8DF" w14:textId="77777777" w:rsidR="00C10E0F" w:rsidRPr="009E2CCF" w:rsidRDefault="00C10E0F" w:rsidP="00246B59">
            <w:pPr>
              <w:rPr>
                <w:rFonts w:eastAsiaTheme="minorEastAsia" w:cs="Arial"/>
                <w:lang w:val="mn-MN"/>
              </w:rPr>
            </w:pPr>
            <w:r w:rsidRPr="009E2CCF">
              <w:rPr>
                <w:rFonts w:cs="Arial"/>
                <w:lang w:val="mn-MN"/>
              </w:rPr>
              <w:t>-Дотоодын нийт бүтээгдэхүүнд эзлэх хувь</w:t>
            </w:r>
          </w:p>
        </w:tc>
        <w:tc>
          <w:tcPr>
            <w:tcW w:w="1332" w:type="dxa"/>
            <w:vAlign w:val="center"/>
          </w:tcPr>
          <w:p w14:paraId="50D39DE8" w14:textId="77777777" w:rsidR="00C10E0F" w:rsidRPr="009E2CCF" w:rsidRDefault="00C10E0F" w:rsidP="00246B59">
            <w:pPr>
              <w:jc w:val="right"/>
              <w:rPr>
                <w:rFonts w:cs="Arial"/>
                <w:color w:val="000000"/>
                <w:szCs w:val="22"/>
                <w:lang w:val="mn-MN"/>
              </w:rPr>
            </w:pPr>
            <w:r w:rsidRPr="009E2CCF">
              <w:rPr>
                <w:rFonts w:cs="Arial"/>
                <w:color w:val="000000"/>
                <w:szCs w:val="22"/>
                <w:lang w:val="mn-MN"/>
              </w:rPr>
              <w:t>2.1</w:t>
            </w:r>
          </w:p>
        </w:tc>
        <w:tc>
          <w:tcPr>
            <w:tcW w:w="1350" w:type="dxa"/>
            <w:vAlign w:val="center"/>
          </w:tcPr>
          <w:p w14:paraId="615D9E47" w14:textId="77777777" w:rsidR="00C10E0F" w:rsidRPr="009E2CCF" w:rsidRDefault="00C10E0F" w:rsidP="00246B59">
            <w:pPr>
              <w:jc w:val="right"/>
              <w:rPr>
                <w:rFonts w:cs="Arial"/>
                <w:color w:val="000000"/>
                <w:sz w:val="22"/>
                <w:szCs w:val="22"/>
                <w:lang w:val="mn-MN"/>
              </w:rPr>
            </w:pPr>
            <w:r w:rsidRPr="009E2CCF">
              <w:rPr>
                <w:rFonts w:cs="Arial"/>
                <w:color w:val="000000"/>
                <w:sz w:val="22"/>
                <w:szCs w:val="22"/>
                <w:lang w:val="mn-MN"/>
              </w:rPr>
              <w:t>2.0</w:t>
            </w:r>
          </w:p>
        </w:tc>
        <w:tc>
          <w:tcPr>
            <w:tcW w:w="1256" w:type="dxa"/>
            <w:vAlign w:val="center"/>
          </w:tcPr>
          <w:p w14:paraId="5F8DF131" w14:textId="77777777" w:rsidR="00C10E0F" w:rsidRPr="009E2CCF" w:rsidRDefault="00C10E0F" w:rsidP="00246B59">
            <w:pPr>
              <w:jc w:val="right"/>
              <w:rPr>
                <w:rFonts w:cs="Arial"/>
                <w:color w:val="000000"/>
                <w:sz w:val="22"/>
                <w:szCs w:val="22"/>
                <w:lang w:val="mn-MN"/>
              </w:rPr>
            </w:pPr>
            <w:r w:rsidRPr="009E2CCF">
              <w:rPr>
                <w:rFonts w:cs="Arial"/>
                <w:color w:val="000000"/>
                <w:sz w:val="22"/>
                <w:szCs w:val="22"/>
                <w:lang w:val="mn-MN"/>
              </w:rPr>
              <w:t>2.0</w:t>
            </w:r>
          </w:p>
        </w:tc>
      </w:tr>
    </w:tbl>
    <w:p w14:paraId="14F1BF48" w14:textId="77777777" w:rsidR="00C10E0F" w:rsidRPr="009E2CCF" w:rsidRDefault="00C10E0F" w:rsidP="00C10E0F">
      <w:pPr>
        <w:ind w:firstLine="720"/>
        <w:jc w:val="both"/>
        <w:rPr>
          <w:rFonts w:cs="Arial"/>
          <w:b/>
          <w:lang w:val="mn-MN"/>
        </w:rPr>
      </w:pPr>
    </w:p>
    <w:p w14:paraId="1943F278" w14:textId="77777777" w:rsidR="00C10E0F" w:rsidRPr="009E2CCF" w:rsidRDefault="00C10E0F" w:rsidP="00C10E0F">
      <w:pPr>
        <w:jc w:val="center"/>
        <w:rPr>
          <w:rFonts w:cs="Arial"/>
          <w:lang w:val="mn-MN"/>
        </w:rPr>
      </w:pPr>
    </w:p>
    <w:p w14:paraId="5EB999BE" w14:textId="77777777" w:rsidR="00C10E0F" w:rsidRPr="009E2CCF" w:rsidRDefault="00C10E0F" w:rsidP="00C10E0F">
      <w:pPr>
        <w:jc w:val="center"/>
        <w:rPr>
          <w:rFonts w:cs="Arial"/>
          <w:lang w:val="mn-MN"/>
        </w:rPr>
      </w:pPr>
    </w:p>
    <w:p w14:paraId="114BF80D" w14:textId="77777777" w:rsidR="00C10E0F" w:rsidRPr="009E2CCF" w:rsidRDefault="00C10E0F" w:rsidP="00C10E0F">
      <w:pPr>
        <w:jc w:val="center"/>
        <w:rPr>
          <w:rFonts w:cs="Arial"/>
          <w:lang w:val="mn-MN"/>
        </w:rPr>
      </w:pPr>
    </w:p>
    <w:p w14:paraId="2A77BF06" w14:textId="77777777" w:rsidR="00C10E0F" w:rsidRPr="009E2CCF" w:rsidRDefault="00C10E0F" w:rsidP="00C10E0F">
      <w:pPr>
        <w:jc w:val="center"/>
        <w:rPr>
          <w:rFonts w:cs="Arial"/>
          <w:lang w:val="mn-MN"/>
        </w:rPr>
      </w:pPr>
      <w:r w:rsidRPr="009E2CCF">
        <w:rPr>
          <w:rFonts w:cs="Arial"/>
          <w:lang w:val="mn-MN"/>
        </w:rPr>
        <w:t>Гарын үсэг</w:t>
      </w:r>
    </w:p>
    <w:p w14:paraId="4EE81AC7" w14:textId="77777777" w:rsidR="00C10E0F" w:rsidRPr="00C10E0F" w:rsidRDefault="00C10E0F" w:rsidP="00C10E0F">
      <w:pPr>
        <w:jc w:val="center"/>
        <w:rPr>
          <w:rFonts w:ascii="Times New Roman" w:hAnsi="Times New Roman"/>
          <w:b/>
          <w:lang w:val="mn-MN"/>
        </w:rPr>
      </w:pPr>
    </w:p>
    <w:p w14:paraId="395816B7" w14:textId="77777777" w:rsidR="00C10E0F" w:rsidRPr="00C10E0F" w:rsidRDefault="00C10E0F" w:rsidP="00C10E0F">
      <w:pPr>
        <w:jc w:val="center"/>
        <w:rPr>
          <w:rFonts w:ascii="Times New Roman" w:hAnsi="Times New Roman"/>
          <w:b/>
          <w:lang w:val="mn-MN"/>
        </w:rPr>
      </w:pPr>
    </w:p>
    <w:p w14:paraId="036C3CD5" w14:textId="77777777" w:rsidR="00C10E0F" w:rsidRPr="00C10E0F" w:rsidRDefault="00C10E0F" w:rsidP="00C10E0F">
      <w:pPr>
        <w:jc w:val="center"/>
        <w:rPr>
          <w:rFonts w:ascii="Times New Roman" w:hAnsi="Times New Roman"/>
          <w:b/>
          <w:lang w:val="mn-MN"/>
        </w:rPr>
      </w:pPr>
    </w:p>
    <w:p w14:paraId="6A665C64" w14:textId="77777777" w:rsidR="00C10E0F" w:rsidRPr="00C10E0F" w:rsidRDefault="00C10E0F" w:rsidP="00C10E0F">
      <w:pPr>
        <w:jc w:val="center"/>
        <w:rPr>
          <w:rFonts w:ascii="Times New Roman" w:hAnsi="Times New Roman"/>
          <w:b/>
          <w:lang w:val="mn-MN"/>
        </w:rPr>
      </w:pPr>
    </w:p>
    <w:p w14:paraId="73F35E30" w14:textId="77777777" w:rsidR="00C10E0F" w:rsidRPr="00C10E0F" w:rsidRDefault="00C10E0F" w:rsidP="00C10E0F">
      <w:pPr>
        <w:jc w:val="center"/>
        <w:rPr>
          <w:rFonts w:ascii="Times New Roman" w:hAnsi="Times New Roman"/>
          <w:b/>
          <w:lang w:val="mn-MN"/>
        </w:rPr>
      </w:pPr>
    </w:p>
    <w:p w14:paraId="5A714CEC" w14:textId="77777777" w:rsidR="00C10E0F" w:rsidRPr="00C10E0F" w:rsidRDefault="00C10E0F" w:rsidP="00C10E0F">
      <w:pPr>
        <w:jc w:val="center"/>
        <w:rPr>
          <w:rFonts w:ascii="Times New Roman" w:hAnsi="Times New Roman"/>
          <w:b/>
          <w:lang w:val="mn-MN"/>
        </w:rPr>
      </w:pPr>
    </w:p>
    <w:p w14:paraId="47A0F2BE" w14:textId="77777777" w:rsidR="00C10E0F" w:rsidRPr="00C10E0F" w:rsidRDefault="00C10E0F" w:rsidP="00C10E0F">
      <w:pPr>
        <w:jc w:val="center"/>
        <w:rPr>
          <w:rFonts w:ascii="Times New Roman" w:hAnsi="Times New Roman"/>
          <w:b/>
          <w:lang w:val="mn-MN"/>
        </w:rPr>
      </w:pPr>
    </w:p>
    <w:p w14:paraId="048D4A47" w14:textId="77777777" w:rsidR="00C10E0F" w:rsidRPr="00C10E0F" w:rsidRDefault="00C10E0F" w:rsidP="00C10E0F">
      <w:pPr>
        <w:jc w:val="center"/>
        <w:rPr>
          <w:rFonts w:ascii="Times New Roman" w:hAnsi="Times New Roman"/>
          <w:b/>
          <w:lang w:val="mn-MN"/>
        </w:rPr>
      </w:pPr>
    </w:p>
    <w:p w14:paraId="3B6744CF" w14:textId="77777777" w:rsidR="00C10E0F" w:rsidRPr="00C10E0F" w:rsidRDefault="00C10E0F" w:rsidP="00C10E0F">
      <w:pPr>
        <w:jc w:val="center"/>
        <w:rPr>
          <w:rFonts w:ascii="Times New Roman" w:hAnsi="Times New Roman"/>
          <w:b/>
          <w:lang w:val="mn-MN"/>
        </w:rPr>
      </w:pPr>
    </w:p>
    <w:p w14:paraId="03C789D3" w14:textId="77777777" w:rsidR="00C10E0F" w:rsidRPr="00C10E0F" w:rsidRDefault="00C10E0F" w:rsidP="00C10E0F">
      <w:pPr>
        <w:jc w:val="center"/>
        <w:rPr>
          <w:rFonts w:ascii="Times New Roman" w:hAnsi="Times New Roman"/>
          <w:b/>
          <w:lang w:val="mn-MN"/>
        </w:rPr>
      </w:pPr>
    </w:p>
    <w:p w14:paraId="18FF2837" w14:textId="77777777" w:rsidR="00C10E0F" w:rsidRPr="00C10E0F" w:rsidRDefault="00C10E0F" w:rsidP="00C10E0F">
      <w:pPr>
        <w:jc w:val="center"/>
        <w:rPr>
          <w:rFonts w:ascii="Times New Roman" w:hAnsi="Times New Roman"/>
          <w:b/>
          <w:lang w:val="mn-MN"/>
        </w:rPr>
      </w:pPr>
    </w:p>
    <w:p w14:paraId="0FB6812D" w14:textId="77777777" w:rsidR="00C10E0F" w:rsidRPr="00C10E0F" w:rsidRDefault="00C10E0F" w:rsidP="00C10E0F">
      <w:pPr>
        <w:jc w:val="center"/>
        <w:rPr>
          <w:rFonts w:ascii="Times New Roman" w:hAnsi="Times New Roman"/>
          <w:b/>
          <w:lang w:val="mn-MN"/>
        </w:rPr>
      </w:pPr>
    </w:p>
    <w:p w14:paraId="678661DA" w14:textId="77777777" w:rsidR="00C10E0F" w:rsidRPr="00C10E0F" w:rsidRDefault="00C10E0F" w:rsidP="00C10E0F">
      <w:pPr>
        <w:jc w:val="center"/>
        <w:rPr>
          <w:rFonts w:ascii="Times New Roman" w:hAnsi="Times New Roman"/>
          <w:b/>
          <w:lang w:val="mn-MN"/>
        </w:rPr>
      </w:pPr>
    </w:p>
    <w:p w14:paraId="2964E57A" w14:textId="77777777" w:rsidR="00C10E0F" w:rsidRPr="00C10E0F" w:rsidRDefault="00C10E0F" w:rsidP="00C10E0F">
      <w:pPr>
        <w:jc w:val="center"/>
        <w:rPr>
          <w:rFonts w:ascii="Times New Roman" w:hAnsi="Times New Roman"/>
          <w:b/>
          <w:lang w:val="mn-MN"/>
        </w:rPr>
      </w:pPr>
    </w:p>
    <w:p w14:paraId="1EC447C6" w14:textId="77777777" w:rsidR="00C10E0F" w:rsidRPr="00C10E0F" w:rsidRDefault="00C10E0F" w:rsidP="00C10E0F">
      <w:pPr>
        <w:jc w:val="center"/>
        <w:rPr>
          <w:rFonts w:ascii="Times New Roman" w:hAnsi="Times New Roman"/>
          <w:b/>
          <w:lang w:val="mn-MN"/>
        </w:rPr>
      </w:pPr>
    </w:p>
    <w:p w14:paraId="6B023139" w14:textId="77777777" w:rsidR="00C10E0F" w:rsidRPr="00C10E0F" w:rsidRDefault="00C10E0F" w:rsidP="00C10E0F">
      <w:pPr>
        <w:jc w:val="center"/>
        <w:rPr>
          <w:rFonts w:ascii="Times New Roman" w:hAnsi="Times New Roman"/>
          <w:b/>
          <w:lang w:val="mn-MN"/>
        </w:rPr>
      </w:pPr>
    </w:p>
    <w:p w14:paraId="4E273DAF" w14:textId="77777777" w:rsidR="00C10E0F" w:rsidRPr="00C10E0F" w:rsidRDefault="00C10E0F" w:rsidP="00C10E0F">
      <w:pPr>
        <w:jc w:val="center"/>
        <w:rPr>
          <w:rFonts w:ascii="Times New Roman" w:hAnsi="Times New Roman"/>
          <w:b/>
          <w:lang w:val="mn-MN"/>
        </w:rPr>
      </w:pPr>
    </w:p>
    <w:p w14:paraId="527644A8" w14:textId="77777777" w:rsidR="00C10E0F" w:rsidRPr="00C10E0F" w:rsidRDefault="00C10E0F" w:rsidP="00C10E0F">
      <w:pPr>
        <w:jc w:val="center"/>
        <w:rPr>
          <w:rFonts w:ascii="Times New Roman" w:hAnsi="Times New Roman"/>
          <w:b/>
          <w:lang w:val="mn-MN"/>
        </w:rPr>
      </w:pPr>
    </w:p>
    <w:p w14:paraId="1E34B1F5" w14:textId="77777777" w:rsidR="00C10E0F" w:rsidRPr="00C10E0F" w:rsidRDefault="00C10E0F" w:rsidP="00C10E0F">
      <w:pPr>
        <w:jc w:val="center"/>
        <w:rPr>
          <w:rFonts w:ascii="Times New Roman" w:hAnsi="Times New Roman"/>
          <w:b/>
          <w:lang w:val="mn-MN"/>
        </w:rPr>
      </w:pPr>
    </w:p>
    <w:p w14:paraId="669BBE12" w14:textId="77777777" w:rsidR="00C10E0F" w:rsidRPr="00C10E0F" w:rsidRDefault="00C10E0F" w:rsidP="00C10E0F">
      <w:pPr>
        <w:jc w:val="center"/>
        <w:rPr>
          <w:rFonts w:ascii="Times New Roman" w:hAnsi="Times New Roman"/>
          <w:b/>
          <w:lang w:val="mn-MN"/>
        </w:rPr>
      </w:pPr>
    </w:p>
    <w:p w14:paraId="7FD7AFF9" w14:textId="77777777" w:rsidR="00C10E0F" w:rsidRPr="00C10E0F" w:rsidRDefault="00C10E0F" w:rsidP="00C10E0F">
      <w:pPr>
        <w:jc w:val="center"/>
        <w:rPr>
          <w:rFonts w:ascii="Times New Roman" w:hAnsi="Times New Roman"/>
          <w:b/>
          <w:lang w:val="mn-MN"/>
        </w:rPr>
      </w:pPr>
    </w:p>
    <w:p w14:paraId="1086D1D4" w14:textId="77777777" w:rsidR="00C10E0F" w:rsidRPr="00C10E0F" w:rsidRDefault="00C10E0F" w:rsidP="00C10E0F">
      <w:pPr>
        <w:jc w:val="center"/>
        <w:rPr>
          <w:rFonts w:ascii="Times New Roman" w:hAnsi="Times New Roman"/>
          <w:b/>
          <w:lang w:val="mn-MN"/>
        </w:rPr>
      </w:pPr>
    </w:p>
    <w:p w14:paraId="1F2C7AEC" w14:textId="77777777" w:rsidR="00C10E0F" w:rsidRPr="00C10E0F" w:rsidRDefault="00C10E0F" w:rsidP="00C10E0F">
      <w:pPr>
        <w:jc w:val="center"/>
        <w:rPr>
          <w:rFonts w:ascii="Times New Roman" w:hAnsi="Times New Roman"/>
          <w:b/>
          <w:lang w:val="mn-MN"/>
        </w:rPr>
      </w:pPr>
    </w:p>
    <w:p w14:paraId="08747F76" w14:textId="77777777" w:rsidR="00C10E0F" w:rsidRPr="00C10E0F" w:rsidRDefault="00C10E0F" w:rsidP="00C10E0F">
      <w:pPr>
        <w:jc w:val="center"/>
        <w:rPr>
          <w:rFonts w:ascii="Times New Roman" w:hAnsi="Times New Roman"/>
          <w:b/>
          <w:lang w:val="mn-MN"/>
        </w:rPr>
      </w:pPr>
    </w:p>
    <w:p w14:paraId="784A8F88" w14:textId="77777777" w:rsidR="00C10E0F" w:rsidRDefault="00C10E0F" w:rsidP="00C10E0F">
      <w:pPr>
        <w:jc w:val="center"/>
        <w:rPr>
          <w:rFonts w:ascii="Times New Roman" w:hAnsi="Times New Roman"/>
          <w:b/>
        </w:rPr>
      </w:pPr>
    </w:p>
    <w:p w14:paraId="5F71410D" w14:textId="77777777" w:rsidR="00C10E0F" w:rsidRDefault="00C10E0F" w:rsidP="00C10E0F">
      <w:pPr>
        <w:jc w:val="center"/>
        <w:rPr>
          <w:rFonts w:ascii="Times New Roman" w:hAnsi="Times New Roman"/>
          <w:b/>
        </w:rPr>
      </w:pPr>
    </w:p>
    <w:p w14:paraId="16D97840" w14:textId="77777777" w:rsidR="00C10E0F" w:rsidRDefault="00C10E0F" w:rsidP="00C10E0F">
      <w:pPr>
        <w:jc w:val="center"/>
        <w:rPr>
          <w:rFonts w:ascii="Times New Roman" w:hAnsi="Times New Roman"/>
          <w:b/>
        </w:rPr>
      </w:pPr>
    </w:p>
    <w:p w14:paraId="2FE6F1A3" w14:textId="77777777" w:rsidR="00C10E0F" w:rsidRPr="00C10E0F" w:rsidRDefault="00C10E0F" w:rsidP="00C10E0F">
      <w:pPr>
        <w:jc w:val="center"/>
        <w:rPr>
          <w:rFonts w:ascii="Times New Roman" w:hAnsi="Times New Roman"/>
          <w:b/>
        </w:rPr>
      </w:pPr>
    </w:p>
    <w:p w14:paraId="49D0D182" w14:textId="77777777" w:rsidR="00C10E0F" w:rsidRPr="00C10E0F" w:rsidRDefault="00C10E0F" w:rsidP="00C10E0F">
      <w:pPr>
        <w:jc w:val="center"/>
        <w:rPr>
          <w:rFonts w:ascii="Times New Roman" w:hAnsi="Times New Roman"/>
          <w:b/>
          <w:lang w:val="mn-MN"/>
        </w:rPr>
      </w:pPr>
    </w:p>
    <w:p w14:paraId="6B023327" w14:textId="77777777" w:rsidR="00C10E0F" w:rsidRPr="00C10E0F" w:rsidRDefault="00C10E0F" w:rsidP="00C10E0F">
      <w:pPr>
        <w:jc w:val="center"/>
        <w:rPr>
          <w:rFonts w:ascii="Times New Roman" w:hAnsi="Times New Roman"/>
          <w:b/>
          <w:lang w:val="mn-MN"/>
        </w:rPr>
      </w:pPr>
    </w:p>
    <w:p w14:paraId="4E715195" w14:textId="77777777" w:rsidR="00C10E0F" w:rsidRPr="00C10E0F" w:rsidRDefault="00C10E0F" w:rsidP="00C10E0F">
      <w:pPr>
        <w:jc w:val="center"/>
        <w:rPr>
          <w:rFonts w:ascii="Times New Roman" w:hAnsi="Times New Roman"/>
          <w:b/>
          <w:lang w:val="mn-MN"/>
        </w:rPr>
      </w:pPr>
    </w:p>
    <w:p w14:paraId="6C53A90D" w14:textId="77777777" w:rsidR="00C10E0F" w:rsidRPr="00C10E0F" w:rsidRDefault="00C10E0F" w:rsidP="00C10E0F">
      <w:pPr>
        <w:jc w:val="center"/>
        <w:rPr>
          <w:rFonts w:ascii="Times New Roman" w:hAnsi="Times New Roman"/>
          <w:b/>
          <w:lang w:val="mn-MN"/>
        </w:rPr>
      </w:pPr>
    </w:p>
    <w:p w14:paraId="60895573" w14:textId="77777777" w:rsidR="00C10E0F" w:rsidRPr="00C10E0F" w:rsidRDefault="00C10E0F" w:rsidP="00C10E0F">
      <w:pPr>
        <w:jc w:val="center"/>
        <w:rPr>
          <w:rFonts w:ascii="Times New Roman" w:hAnsi="Times New Roman"/>
          <w:b/>
          <w:lang w:val="mn-MN"/>
        </w:rPr>
      </w:pPr>
      <w:r w:rsidRPr="00C10E0F">
        <w:rPr>
          <w:rFonts w:ascii="Times New Roman" w:hAnsi="Times New Roman"/>
          <w:b/>
          <w:lang w:val="mn-MN"/>
        </w:rPr>
        <w:lastRenderedPageBreak/>
        <w:t>МОНГОЛ УЛСЫН НЭГДСЭН ТӨСВИЙН 2018 ОНЫ ТӨСВИЙН ХҮРЭЭНИЙ МЭДЭГДЭЛ, 2019-2020 ОНЫ ТӨСВИЙН ТӨСӨӨЛЛИЙН ТУХАЙ ХУУЛЬД ӨӨРЧЛӨЛТ ОРУУЛАХ ТУХАЙ ХУУЛИЙН ТӨСЛИЙН ТАНИЛЦУУЛГА</w:t>
      </w:r>
    </w:p>
    <w:p w14:paraId="0FA01531" w14:textId="77777777" w:rsidR="00C10E0F" w:rsidRPr="00C10E0F" w:rsidRDefault="00C10E0F" w:rsidP="00C10E0F">
      <w:pPr>
        <w:spacing w:before="240" w:after="240" w:line="276" w:lineRule="auto"/>
        <w:ind w:firstLine="720"/>
        <w:jc w:val="both"/>
        <w:rPr>
          <w:rFonts w:ascii="Times New Roman" w:hAnsi="Times New Roman"/>
          <w:noProof/>
          <w:lang w:val="mn-MN" w:eastAsia="mn-MN"/>
        </w:rPr>
      </w:pPr>
      <w:r w:rsidRPr="00C10E0F">
        <w:rPr>
          <w:rFonts w:ascii="Times New Roman" w:hAnsi="Times New Roman"/>
          <w:noProof/>
          <w:lang w:val="mn-MN" w:eastAsia="mn-MN"/>
        </w:rPr>
        <w:t xml:space="preserve">Монгол Улсын нэгдсэн төсвийн 2018 оны төсвийн хүрээний мэдэгдэл, 2019-2020 оны төсвийн төсөөллийн тухай хууль Улсын Их Хурлын 2017 оны 5 дугаар сарын 31-ны өдрийн хуралдаанаар батлагдсан. </w:t>
      </w:r>
    </w:p>
    <w:p w14:paraId="0B59A84F" w14:textId="77777777" w:rsidR="00C10E0F" w:rsidRPr="00C10E0F" w:rsidRDefault="00C10E0F" w:rsidP="00C10E0F">
      <w:pPr>
        <w:spacing w:before="240" w:after="240" w:line="276" w:lineRule="auto"/>
        <w:ind w:firstLine="720"/>
        <w:jc w:val="both"/>
        <w:rPr>
          <w:rFonts w:ascii="Times New Roman" w:eastAsia="Times New Roman" w:hAnsi="Times New Roman"/>
          <w:lang w:val="mn-MN"/>
        </w:rPr>
      </w:pPr>
      <w:r w:rsidRPr="00C10E0F">
        <w:rPr>
          <w:rFonts w:ascii="Times New Roman" w:eastAsia="Times New Roman" w:hAnsi="Times New Roman"/>
          <w:lang w:val="mn-MN"/>
        </w:rPr>
        <w:t>Мөн 2017 оны 5 дугаар сарын 31-ны өдрийн “Монгол Улсын нэгдсэн төсвийн 2018 оны төсвийн хүрээний мэдэгдэл, 2019-2020 оны төсөөллийн тухай хуулийг баталсантай холбогдуулан авах арга хэмжээний тухай” Монгол Улсын Их Хурлын 41 дүгээр тогтоолд “</w:t>
      </w:r>
      <w:r w:rsidRPr="00C10E0F">
        <w:rPr>
          <w:rFonts w:ascii="Times New Roman" w:hAnsi="Times New Roman"/>
          <w:lang w:val="mn-MN"/>
        </w:rPr>
        <w:t>Улсын Их Хурлын 2016 оны 11 дүгээр сарын 24-ний өдрийн хуралдаанаар батлагдсан “Эдийн засгийг сэргээх хөтөлбөр” болон ОУВС-ийн “Өргөтгөсөн санхүүжилтийн хөтөлбөр”-ийн хүрээнд хэрэгжүүлсэн эдийн засаг, санхүү, төсвийн бодлогын арга хэмжээний хүрээнд эдийн засгийн нөхцөл байдал сайжирч, төсвийн орлого нэмэгдэх нөхцөл байдал үүсэх тохиолдолд Монгол Улсын нэгдсэн төсвийн 2018 оны төсвийн хүрээний мэдэгдэл, 2019-2020 оны төсөөллийн тухай хуулиар батлагдсан үндсэн үзүүлэлтүүдийг 2018 оны төсвийн тухай хуулийг боловсруулах үед дахин авч үзэж, холбогдох өөрчлөлтийг дунд хугацааны төсвийн хүрээний мэдэгдэлд оруулах арга хэмжээ авч хэрэгжүүлэхийг Монгол Улсын Засгийн газарт даалгасугай</w:t>
      </w:r>
      <w:r w:rsidRPr="00C10E0F">
        <w:rPr>
          <w:rFonts w:ascii="Times New Roman" w:eastAsia="Times New Roman" w:hAnsi="Times New Roman"/>
          <w:lang w:val="mn-MN"/>
        </w:rPr>
        <w:t>” гэж заасны дагуу холбогдох өөрчлөлтийг хуульд оруулахаар хуулийн төслийг боловсруулаад байна.</w:t>
      </w:r>
    </w:p>
    <w:p w14:paraId="099A9853" w14:textId="77777777" w:rsidR="00C10E0F" w:rsidRPr="00C10E0F" w:rsidRDefault="00C10E0F" w:rsidP="00C10E0F">
      <w:pPr>
        <w:spacing w:before="240" w:after="240" w:line="276" w:lineRule="auto"/>
        <w:ind w:firstLine="720"/>
        <w:jc w:val="both"/>
        <w:rPr>
          <w:rFonts w:ascii="Times New Roman" w:eastAsia="Times New Roman" w:hAnsi="Times New Roman"/>
          <w:lang w:val="mn-MN"/>
        </w:rPr>
      </w:pPr>
      <w:r w:rsidRPr="00C10E0F">
        <w:rPr>
          <w:rFonts w:ascii="Times New Roman" w:eastAsia="Times New Roman" w:hAnsi="Times New Roman"/>
          <w:lang w:val="mn-MN"/>
        </w:rPr>
        <w:t xml:space="preserve">ОУВС болон Монгол Улсын Засгийн газар хамтран хэрэгжүүлж буй “Өргөтгөсөн санхүүжилтийн хөтөлбөр”-ийн эхний шатны үнэлгээг 2017 оны 7 дугаар сарын 19-ний өдрөөс 8 дугаар сарын 2-ны өдрийн хооронд ажлын хэсгийн түвшинд хийсэн. ОУВС-ийн ажлын хэсгийн зүгээс хөтөлбөр сайн хэрэгжиж, бүх тоон зорилтууд хангагдсан болохыг мэдэгдсэн. </w:t>
      </w:r>
    </w:p>
    <w:p w14:paraId="0AD24F6B" w14:textId="77777777" w:rsidR="00C10E0F" w:rsidRPr="00C10E0F" w:rsidRDefault="00C10E0F" w:rsidP="00C10E0F">
      <w:pPr>
        <w:spacing w:before="240" w:after="240" w:line="276" w:lineRule="auto"/>
        <w:ind w:firstLine="720"/>
        <w:jc w:val="both"/>
        <w:rPr>
          <w:rFonts w:ascii="Times New Roman" w:eastAsia="Times New Roman" w:hAnsi="Times New Roman"/>
          <w:lang w:val="mn-MN"/>
        </w:rPr>
      </w:pPr>
      <w:r w:rsidRPr="00C10E0F">
        <w:rPr>
          <w:rFonts w:ascii="Times New Roman" w:eastAsia="Times New Roman" w:hAnsi="Times New Roman"/>
          <w:lang w:val="mn-MN"/>
        </w:rPr>
        <w:t>Түүнчлэн хөтөлбөрийн 2 дахь шатны үнэлгээг ОУВС-ийн зүгээс ирж ажиллаж буй ажлын хэсэг урьдчилан байдлаар хийгээд байна. Шинэчлэн боловсруулсан Монгол Улсын нэгдсэн төсвийн 2018 оны төсвийн хүрээний мэдэгдэл, 2019-2020 оны төсвийн төсөөллийн үндсэн үзүүлэлтүүд нь “Өргөтгөсөн санхүүжилтийн хөтөлбөр”-ийн 2 дахь шатны үнэлгээг хийж буй ОУВС-ийн ажлын хэсэгтэй тохирсон төсвийн орлого, зарлагын чиглэлээр авч хэрэгжүүлэх бодлогын арга хэмжээ болон төсвийн алдагдлын хязгаартай бүрэн нийцэж байгаа болно.</w:t>
      </w:r>
    </w:p>
    <w:p w14:paraId="413D763E" w14:textId="77777777" w:rsidR="00C10E0F" w:rsidRPr="00C10E0F" w:rsidRDefault="00C10E0F" w:rsidP="00C10E0F">
      <w:pPr>
        <w:spacing w:before="240" w:after="240" w:line="276" w:lineRule="auto"/>
        <w:ind w:firstLine="720"/>
        <w:jc w:val="both"/>
        <w:rPr>
          <w:rFonts w:ascii="Times New Roman" w:eastAsia="Times New Roman" w:hAnsi="Times New Roman"/>
          <w:lang w:val="mn-MN"/>
        </w:rPr>
      </w:pPr>
      <w:r w:rsidRPr="00C10E0F">
        <w:rPr>
          <w:rFonts w:ascii="Times New Roman" w:eastAsia="Times New Roman" w:hAnsi="Times New Roman"/>
          <w:lang w:val="mn-MN"/>
        </w:rPr>
        <w:t xml:space="preserve">Эдийн засгийн өсөлт сэргэж, нүүрсний экспорт эрчимтэй нэмэгдэж, голлох ашигт малтмалуудын үнэ харьцангуй өндөр түвшинд байгаа болон уул уурхай, түүнийг дагасан эдийн засгийн бусад салбарын өсөлтөөс үүдэн бизнесийн орчин харьцангуй идэвхжиж, аж ахуйн нэгжүүдийн борлуулалт, </w:t>
      </w:r>
      <w:r w:rsidRPr="00C10E0F">
        <w:rPr>
          <w:rFonts w:ascii="Times New Roman" w:eastAsia="Times New Roman" w:hAnsi="Times New Roman"/>
          <w:lang w:val="mn-MN"/>
        </w:rPr>
        <w:lastRenderedPageBreak/>
        <w:t xml:space="preserve">ашигт ажиллагаа нэмэгдсэнтэй холбоотойгоор батлагдсан төсвийн хүрээний мэдэгдлээс орлого нэмэгдэхээр байна. </w:t>
      </w:r>
    </w:p>
    <w:p w14:paraId="6DEDEF1A" w14:textId="77777777" w:rsidR="00C10E0F" w:rsidRPr="00C10E0F" w:rsidRDefault="00C10E0F" w:rsidP="00C10E0F">
      <w:pPr>
        <w:spacing w:before="240" w:after="240" w:line="276" w:lineRule="auto"/>
        <w:ind w:firstLine="720"/>
        <w:jc w:val="both"/>
        <w:rPr>
          <w:rFonts w:ascii="Times New Roman" w:eastAsia="Times New Roman" w:hAnsi="Times New Roman"/>
          <w:lang w:val="mn-MN"/>
        </w:rPr>
      </w:pPr>
      <w:r w:rsidRPr="00C10E0F">
        <w:rPr>
          <w:rFonts w:ascii="Times New Roman" w:eastAsia="Times New Roman" w:hAnsi="Times New Roman"/>
          <w:lang w:val="mn-MN"/>
        </w:rPr>
        <w:t>ОУВС-ийн хөтөлбөрийн эхний шатны үнэлгээ болон хоёр дахь шатны урьдчилсан үнэлгээний хүрээнд Монгол Улсын 2018 оны төсвийн төсөлтэй холбоотойгоор дунд хугацааны макро эдийн засгийн тооцоолол, төсвийн орлого, зарлагын төсөөлөл зэрэг үндсэн үзүүлэлтүүд өөрчлөгдөхөөр байна. Энэ нь дунд хугацааны төсвийн хүрээний мэдэгдэлд тусгагдсан төсвийн үндсэн үзүүлэлтүүдийн хэмжээг өөрчлөх зайлшгүй шаардлагыг бий болгож байна.</w:t>
      </w:r>
    </w:p>
    <w:p w14:paraId="5BFABCB1" w14:textId="77777777" w:rsidR="00C10E0F" w:rsidRPr="00C10E0F" w:rsidRDefault="00C10E0F" w:rsidP="00C10E0F">
      <w:pPr>
        <w:spacing w:before="240" w:after="240" w:line="276" w:lineRule="auto"/>
        <w:ind w:firstLine="720"/>
        <w:jc w:val="both"/>
        <w:rPr>
          <w:rFonts w:ascii="Times New Roman" w:hAnsi="Times New Roman"/>
          <w:lang w:val="mn-MN"/>
        </w:rPr>
      </w:pPr>
      <w:r w:rsidRPr="00C10E0F">
        <w:rPr>
          <w:rFonts w:ascii="Times New Roman" w:hAnsi="Times New Roman"/>
          <w:lang w:val="mn-MN"/>
        </w:rPr>
        <w:t xml:space="preserve">Дээрх зарчмын дагуу холбогдох өөрчлөлтийг тусгаснаар Монгол Улсын нэгдсэн төсвийн 2018 оны төсвийн хүрээний мэдэгдлийн тэнцвэржүүлсэн орлогын хэмжээ </w:t>
      </w:r>
      <w:r w:rsidRPr="00C10E0F">
        <w:rPr>
          <w:rFonts w:ascii="Times New Roman" w:hAnsi="Times New Roman"/>
          <w:b/>
          <w:lang w:val="mn-MN"/>
        </w:rPr>
        <w:t>7,231.4 тэрбум төгрөг</w:t>
      </w:r>
      <w:r w:rsidRPr="00C10E0F">
        <w:rPr>
          <w:rFonts w:ascii="Times New Roman" w:hAnsi="Times New Roman"/>
          <w:lang w:val="mn-MN"/>
        </w:rPr>
        <w:t xml:space="preserve"> буюу ДНБ-ий </w:t>
      </w:r>
      <w:r w:rsidRPr="00C10E0F">
        <w:rPr>
          <w:rFonts w:ascii="Times New Roman" w:hAnsi="Times New Roman"/>
          <w:b/>
          <w:lang w:val="mn-MN"/>
        </w:rPr>
        <w:t>23.8 хувь</w:t>
      </w:r>
      <w:r w:rsidRPr="00C10E0F">
        <w:rPr>
          <w:rFonts w:ascii="Times New Roman" w:hAnsi="Times New Roman"/>
          <w:lang w:val="mn-MN"/>
        </w:rPr>
        <w:t xml:space="preserve">, нэгдсэн төсвийн нийт зарлагын дээд хэмжээ </w:t>
      </w:r>
      <w:r w:rsidRPr="00C10E0F">
        <w:rPr>
          <w:rFonts w:ascii="Times New Roman" w:hAnsi="Times New Roman"/>
          <w:b/>
          <w:lang w:val="mn-MN"/>
        </w:rPr>
        <w:t>9,651.9 тэрбум төгрөг</w:t>
      </w:r>
      <w:r w:rsidRPr="00C10E0F">
        <w:rPr>
          <w:rFonts w:ascii="Times New Roman" w:hAnsi="Times New Roman"/>
          <w:lang w:val="mn-MN"/>
        </w:rPr>
        <w:t xml:space="preserve"> буюу </w:t>
      </w:r>
      <w:r w:rsidRPr="00C10E0F">
        <w:rPr>
          <w:rFonts w:ascii="Times New Roman" w:hAnsi="Times New Roman"/>
          <w:b/>
          <w:lang w:val="mn-MN"/>
        </w:rPr>
        <w:t>ДНБ-ий 31.8 хувь</w:t>
      </w:r>
      <w:r w:rsidRPr="00C10E0F">
        <w:rPr>
          <w:rFonts w:ascii="Times New Roman" w:hAnsi="Times New Roman"/>
          <w:lang w:val="mn-MN"/>
        </w:rPr>
        <w:t xml:space="preserve">, нэгдсэн төсвийн тэнцвэржүүлсэн тэнцэл </w:t>
      </w:r>
      <w:r w:rsidRPr="00C10E0F">
        <w:rPr>
          <w:rFonts w:ascii="Times New Roman" w:hAnsi="Times New Roman"/>
          <w:b/>
          <w:lang w:val="mn-MN"/>
        </w:rPr>
        <w:t xml:space="preserve">-2,420.4 </w:t>
      </w:r>
      <w:r w:rsidRPr="00C10E0F">
        <w:rPr>
          <w:rFonts w:ascii="Times New Roman" w:hAnsi="Times New Roman"/>
          <w:b/>
          <w:u w:color="FF0000"/>
          <w:lang w:val="mn-MN"/>
        </w:rPr>
        <w:t>тэрбум</w:t>
      </w:r>
      <w:r w:rsidRPr="00C10E0F">
        <w:rPr>
          <w:rFonts w:ascii="Times New Roman" w:hAnsi="Times New Roman"/>
          <w:b/>
          <w:lang w:val="mn-MN"/>
        </w:rPr>
        <w:t xml:space="preserve"> төгрөг</w:t>
      </w:r>
      <w:r w:rsidRPr="00C10E0F">
        <w:rPr>
          <w:rFonts w:ascii="Times New Roman" w:hAnsi="Times New Roman"/>
          <w:lang w:val="mn-MN"/>
        </w:rPr>
        <w:t xml:space="preserve">ийн алдагдалтай буюу </w:t>
      </w:r>
      <w:r w:rsidRPr="00C10E0F">
        <w:rPr>
          <w:rFonts w:ascii="Times New Roman" w:hAnsi="Times New Roman"/>
          <w:b/>
          <w:lang w:val="mn-MN"/>
        </w:rPr>
        <w:t>ДНБ-ий –8.0</w:t>
      </w:r>
      <w:r w:rsidRPr="00C10E0F">
        <w:rPr>
          <w:rFonts w:ascii="Times New Roman" w:hAnsi="Times New Roman"/>
          <w:lang w:val="mn-MN"/>
        </w:rPr>
        <w:t xml:space="preserve"> хувьтай байхаар байна.</w:t>
      </w:r>
    </w:p>
    <w:p w14:paraId="3D25C311" w14:textId="77777777" w:rsidR="001B7626" w:rsidRPr="00C10E0F" w:rsidRDefault="001B7626">
      <w:pPr>
        <w:rPr>
          <w:lang w:val="mn-MN"/>
        </w:rPr>
      </w:pPr>
    </w:p>
    <w:sectPr w:rsidR="001B7626" w:rsidRPr="00C10E0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ewtonMTT">
    <w:altName w:val="Courier New"/>
    <w:panose1 w:val="00000000000000000000"/>
    <w:charset w:val="00"/>
    <w:family w:val="swiss"/>
    <w:notTrueType/>
    <w:pitch w:val="variable"/>
    <w:sig w:usb0="00000203" w:usb1="00000000" w:usb2="00000000" w:usb3="00000000" w:csb0="00000005" w:csb1="00000000"/>
  </w:font>
  <w:font w:name="Arial Mon">
    <w:altName w:val="Arial"/>
    <w:charset w:val="CC"/>
    <w:family w:val="swiss"/>
    <w:pitch w:val="variable"/>
    <w:sig w:usb0="00000203" w:usb1="00000000" w:usb2="00000000" w:usb3="00000000" w:csb0="00000005"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E0F"/>
    <w:rsid w:val="0010652F"/>
    <w:rsid w:val="00111F6E"/>
    <w:rsid w:val="00164097"/>
    <w:rsid w:val="001718A0"/>
    <w:rsid w:val="00191868"/>
    <w:rsid w:val="001B1890"/>
    <w:rsid w:val="001B7626"/>
    <w:rsid w:val="001F092C"/>
    <w:rsid w:val="00250CAF"/>
    <w:rsid w:val="002F7FF0"/>
    <w:rsid w:val="00314D24"/>
    <w:rsid w:val="0036665C"/>
    <w:rsid w:val="003735E4"/>
    <w:rsid w:val="003B6E67"/>
    <w:rsid w:val="003C36B4"/>
    <w:rsid w:val="00526023"/>
    <w:rsid w:val="005B6E65"/>
    <w:rsid w:val="005E1170"/>
    <w:rsid w:val="006923FA"/>
    <w:rsid w:val="00693B51"/>
    <w:rsid w:val="00694E30"/>
    <w:rsid w:val="006962AB"/>
    <w:rsid w:val="00705E88"/>
    <w:rsid w:val="0072051F"/>
    <w:rsid w:val="00721F63"/>
    <w:rsid w:val="00755115"/>
    <w:rsid w:val="00785F6A"/>
    <w:rsid w:val="00832905"/>
    <w:rsid w:val="0083606B"/>
    <w:rsid w:val="00860D9D"/>
    <w:rsid w:val="008D3CD2"/>
    <w:rsid w:val="008D44EC"/>
    <w:rsid w:val="00943EC9"/>
    <w:rsid w:val="00950EE1"/>
    <w:rsid w:val="009A53CB"/>
    <w:rsid w:val="00A1672D"/>
    <w:rsid w:val="00AD2BA2"/>
    <w:rsid w:val="00B0544F"/>
    <w:rsid w:val="00B8230F"/>
    <w:rsid w:val="00BD6999"/>
    <w:rsid w:val="00BF6236"/>
    <w:rsid w:val="00C10E0F"/>
    <w:rsid w:val="00C25158"/>
    <w:rsid w:val="00C67150"/>
    <w:rsid w:val="00C97480"/>
    <w:rsid w:val="00CA5844"/>
    <w:rsid w:val="00E042F7"/>
    <w:rsid w:val="00E45AD7"/>
    <w:rsid w:val="00E47588"/>
    <w:rsid w:val="00E47621"/>
    <w:rsid w:val="00EC35A1"/>
    <w:rsid w:val="00F359FD"/>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DB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E0F"/>
    <w:pPr>
      <w:spacing w:after="0" w:line="240" w:lineRule="auto"/>
    </w:pPr>
    <w:rPr>
      <w:rFonts w:ascii="Arial" w:eastAsia="Calibri" w:hAnsi="Arial" w:cs="Times New Roman"/>
      <w:sz w:val="24"/>
      <w:szCs w:val="24"/>
      <w:lang w:val="en-US"/>
    </w:rPr>
  </w:style>
  <w:style w:type="paragraph" w:styleId="Heading1">
    <w:name w:val="heading 1"/>
    <w:basedOn w:val="Normal"/>
    <w:next w:val="Normal"/>
    <w:link w:val="Heading1Char"/>
    <w:qFormat/>
    <w:rsid w:val="00C10E0F"/>
    <w:pPr>
      <w:keepNext/>
      <w:jc w:val="center"/>
      <w:outlineLvl w:val="0"/>
    </w:pPr>
    <w:rPr>
      <w:rFonts w:ascii="NewtonMTT" w:eastAsia="Times New Roman" w:hAnsi="NewtonMTT"/>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E0F"/>
    <w:rPr>
      <w:rFonts w:ascii="NewtonMTT" w:eastAsia="Times New Roman" w:hAnsi="NewtonMTT" w:cs="Times New Roman"/>
      <w:b/>
      <w:sz w:val="24"/>
      <w:szCs w:val="20"/>
      <w:lang w:val="en-US"/>
    </w:rPr>
  </w:style>
  <w:style w:type="paragraph" w:styleId="Title">
    <w:name w:val="Title"/>
    <w:basedOn w:val="Normal"/>
    <w:link w:val="TitleChar"/>
    <w:qFormat/>
    <w:rsid w:val="00C10E0F"/>
    <w:pPr>
      <w:jc w:val="center"/>
    </w:pPr>
    <w:rPr>
      <w:rFonts w:ascii="Arial Mon" w:eastAsia="Times New Roman" w:hAnsi="Arial Mon"/>
      <w:color w:val="0000FF"/>
      <w:sz w:val="36"/>
      <w:lang w:val="ms-MY"/>
    </w:rPr>
  </w:style>
  <w:style w:type="character" w:customStyle="1" w:styleId="TitleChar">
    <w:name w:val="Title Char"/>
    <w:basedOn w:val="DefaultParagraphFont"/>
    <w:link w:val="Title"/>
    <w:rsid w:val="00C10E0F"/>
    <w:rPr>
      <w:rFonts w:ascii="Arial Mon" w:eastAsia="Times New Roman" w:hAnsi="Arial Mon" w:cs="Times New Roman"/>
      <w:color w:val="0000FF"/>
      <w:sz w:val="36"/>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4531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Батмөнх Энхтөр</dc:creator>
  <cp:lastModifiedBy>Microsoft Office User</cp:lastModifiedBy>
  <cp:revision>2</cp:revision>
  <dcterms:created xsi:type="dcterms:W3CDTF">2017-11-01T01:05:00Z</dcterms:created>
  <dcterms:modified xsi:type="dcterms:W3CDTF">2017-11-01T01:05:00Z</dcterms:modified>
</cp:coreProperties>
</file>