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FA36C" w14:textId="77777777" w:rsidR="006A5A04" w:rsidRPr="009632B4" w:rsidRDefault="00230CD7" w:rsidP="00230C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lang w:val="mn-MN"/>
        </w:rPr>
      </w:pPr>
      <w:r w:rsidRPr="009632B4">
        <w:rPr>
          <w:rFonts w:ascii="Arial" w:eastAsia="Times New Roman" w:hAnsi="Arial" w:cs="Arial"/>
          <w:sz w:val="24"/>
          <w:szCs w:val="24"/>
          <w:u w:val="single"/>
          <w:lang w:val="mn-MN"/>
        </w:rPr>
        <w:t>Төсөл</w:t>
      </w:r>
    </w:p>
    <w:tbl>
      <w:tblPr>
        <w:tblW w:w="14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4760"/>
        <w:gridCol w:w="4760"/>
      </w:tblGrid>
      <w:tr w:rsidR="006A5A04" w:rsidRPr="009632B4" w14:paraId="3B799AC1" w14:textId="77777777" w:rsidTr="006A5A04">
        <w:tc>
          <w:tcPr>
            <w:tcW w:w="1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D4889" w14:textId="77777777" w:rsidR="006A5A04" w:rsidRPr="009632B4" w:rsidRDefault="006A5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4BBF6" w14:textId="77777777" w:rsidR="006A5A04" w:rsidRPr="009632B4" w:rsidRDefault="006A5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BA084" w14:textId="77777777" w:rsidR="006A5A04" w:rsidRPr="009632B4" w:rsidRDefault="006A5A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  <w:proofErr w:type="spellStart"/>
            <w:r w:rsidRPr="009632B4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>Улаанбаатар</w:t>
            </w:r>
            <w:proofErr w:type="spellEnd"/>
            <w:r w:rsidRPr="009632B4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 xml:space="preserve"> </w:t>
            </w:r>
            <w:proofErr w:type="spellStart"/>
            <w:r w:rsidRPr="009632B4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>хот</w:t>
            </w:r>
            <w:proofErr w:type="spellEnd"/>
          </w:p>
        </w:tc>
      </w:tr>
    </w:tbl>
    <w:p w14:paraId="4332BDCC" w14:textId="77777777" w:rsidR="006A5A04" w:rsidRPr="009632B4" w:rsidRDefault="006A5A04" w:rsidP="006A5A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A8133A" w14:textId="77777777" w:rsidR="006A5A04" w:rsidRPr="009632B4" w:rsidRDefault="006A5A04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ШИНЖЛЭХ УХААНЫ АКАДЕМИЙН ЭРХ ЗҮЙН БАЙДЛЫН ТУХАЙ </w:t>
      </w:r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  <w:lang w:val="mn-MN"/>
        </w:rPr>
        <w:t>ХУУЛЬ</w:t>
      </w:r>
    </w:p>
    <w:p w14:paraId="26F662ED" w14:textId="77777777" w:rsidR="006A5A04" w:rsidRPr="009632B4" w:rsidRDefault="006A5A04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val="mn-MN"/>
        </w:rPr>
      </w:pPr>
    </w:p>
    <w:p w14:paraId="553DE32E" w14:textId="77777777" w:rsidR="006A5A04" w:rsidRPr="009632B4" w:rsidRDefault="006A5A04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>НЭГДҮГЭЭР БҮЛЭГ</w:t>
      </w:r>
    </w:p>
    <w:p w14:paraId="424147AF" w14:textId="77777777" w:rsidR="006A5A04" w:rsidRPr="009632B4" w:rsidRDefault="006A5A04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Нийтлэг</w:t>
      </w:r>
      <w:proofErr w:type="spellEnd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үндэслэл</w:t>
      </w:r>
      <w:proofErr w:type="spellEnd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 </w:t>
      </w:r>
    </w:p>
    <w:p w14:paraId="5D67D499" w14:textId="77777777" w:rsidR="00F36420" w:rsidRPr="009632B4" w:rsidRDefault="00F36420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</w:p>
    <w:p w14:paraId="7353CB1E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1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дүгээр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Хуулийн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зорилт</w:t>
      </w:r>
      <w:proofErr w:type="spellEnd"/>
    </w:p>
    <w:p w14:paraId="70A4406C" w14:textId="77777777" w:rsidR="008B33D4" w:rsidRPr="009632B4" w:rsidRDefault="008B33D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  <w:lang w:val="mn-MN"/>
        </w:rPr>
      </w:pPr>
    </w:p>
    <w:p w14:paraId="68485941" w14:textId="77777777" w:rsidR="00F36420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хуулийн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зорилт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Монгол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зүйн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байдлыг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тодорхойлоход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оршино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A9513B7" w14:textId="77777777" w:rsidR="006A5A04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br/>
      </w:r>
    </w:p>
    <w:p w14:paraId="04222C0D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2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дугаар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 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Монгол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</w:t>
      </w:r>
      <w:proofErr w:type="spellEnd"/>
    </w:p>
    <w:p w14:paraId="2E0096A9" w14:textId="77777777" w:rsidR="008B33D4" w:rsidRPr="009632B4" w:rsidRDefault="008B33D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  <w:lang w:val="mn-MN"/>
        </w:rPr>
      </w:pPr>
    </w:p>
    <w:p w14:paraId="67A0A41D" w14:textId="77777777" w:rsidR="006A5A04" w:rsidRPr="009632B4" w:rsidRDefault="006A5A04" w:rsidP="00F3642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Монгол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цаашид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“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”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гэх</w:t>
      </w:r>
      <w:proofErr w:type="spellEnd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шинжлэх ухааныг хөгжүүлэх, эрдэм шинжилгээ, судалгааны ажилд дэмжлэг үзүүлэх, шинжлэх ухааны мэдлэгийг дэлгэрүүлэх, боловсролын хөгжилд хувь нэмрээ оруулах, үндэсний соёл, хэл, түүх, угсаатны зүйн </w:t>
      </w:r>
      <w:r w:rsidR="008C3E4F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өв уламжлалыг судлах, хамгаалах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зорилго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бүхий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төв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байгууллага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мөн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.  </w:t>
      </w:r>
    </w:p>
    <w:p w14:paraId="18C4DAC2" w14:textId="77777777" w:rsidR="00F36420" w:rsidRPr="009632B4" w:rsidRDefault="00F36420" w:rsidP="00F364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32B4">
        <w:rPr>
          <w:rFonts w:ascii="Arial" w:eastAsia="Times New Roman" w:hAnsi="Arial" w:cs="Arial"/>
          <w:sz w:val="24"/>
          <w:szCs w:val="24"/>
          <w:lang w:val="mn-MN"/>
        </w:rPr>
        <w:t>Академи нь дараах хоёр салбартай байна:</w:t>
      </w:r>
    </w:p>
    <w:p w14:paraId="5308FF5F" w14:textId="77777777" w:rsidR="00F36420" w:rsidRPr="009632B4" w:rsidRDefault="00F36420" w:rsidP="00F36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32B4">
        <w:rPr>
          <w:rFonts w:ascii="Arial" w:eastAsia="Times New Roman" w:hAnsi="Arial" w:cs="Arial"/>
          <w:sz w:val="24"/>
          <w:szCs w:val="24"/>
          <w:lang w:val="mn-MN"/>
        </w:rPr>
        <w:t>Шинжлэх ухаан, технологийн салбар</w:t>
      </w:r>
    </w:p>
    <w:p w14:paraId="1B39B083" w14:textId="77777777" w:rsidR="006A5A04" w:rsidRPr="009632B4" w:rsidRDefault="00F36420" w:rsidP="00F36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32B4">
        <w:rPr>
          <w:rFonts w:ascii="Arial" w:eastAsia="Times New Roman" w:hAnsi="Arial" w:cs="Arial"/>
          <w:sz w:val="24"/>
          <w:szCs w:val="24"/>
          <w:lang w:val="mn-MN"/>
        </w:rPr>
        <w:t xml:space="preserve">Хүмүүнлэг, нийгмийн ухааны салбар. </w:t>
      </w:r>
    </w:p>
    <w:p w14:paraId="0F3552A2" w14:textId="77777777" w:rsidR="006A5A04" w:rsidRPr="009632B4" w:rsidRDefault="006A5A04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>ХОЁРДУГААР БҮЛЭГ</w:t>
      </w:r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зохион</w:t>
      </w:r>
      <w:proofErr w:type="spellEnd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байгуулалт</w:t>
      </w:r>
      <w:proofErr w:type="spellEnd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удирдлага</w:t>
      </w:r>
      <w:proofErr w:type="spellEnd"/>
    </w:p>
    <w:p w14:paraId="0BAFB771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З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дугаар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 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гишүүд</w:t>
      </w:r>
      <w:proofErr w:type="spellEnd"/>
    </w:p>
    <w:p w14:paraId="6F1D326E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r w:rsidR="008C3E4F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="008C3E4F"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="008C3E4F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="008C3E4F"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="008C3E4F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0500A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шинжлэх</w:t>
      </w:r>
      <w:proofErr w:type="gramEnd"/>
      <w:r w:rsidR="000500A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 ухааны докторын зэрэгтэй, салбартаа тэргүүлэгч </w:t>
      </w:r>
      <w:r w:rsidR="008C3E4F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эрдэмтдээс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салбар</w:t>
      </w:r>
      <w:proofErr w:type="spellEnd"/>
      <w:r w:rsidR="008C3E4F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ыг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төлөөлүүлэн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сонгосон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гишүүдээс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бүрдэнэ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 </w:t>
      </w:r>
    </w:p>
    <w:p w14:paraId="4E2491A2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2.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гадаад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гишүүнтэй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BF3CE7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r w:rsidR="00F36420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З. </w:t>
      </w:r>
      <w:proofErr w:type="spellStart"/>
      <w:r w:rsidR="00F36420"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="00490A09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 нь нийт 6</w:t>
      </w:r>
      <w:r w:rsidR="00F36420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0 гишүүнтэй байх бөгөөд </w:t>
      </w:r>
      <w:r w:rsidR="00490A09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үүнээс 4</w:t>
      </w:r>
      <w:r w:rsidR="004258C8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0 нь Шинж</w:t>
      </w:r>
      <w:r w:rsidR="00490A09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лэх ухаан, технологийн салбар, 2</w:t>
      </w:r>
      <w:r w:rsidR="004258C8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0 нь Хүмүүнлэг, нийгмийн ухааны салбарыг тус тус төлөөлнө.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258C8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Зөвхөн орон гарсан тохиолдолд шинээр гишүүн сонгоно.</w:t>
      </w:r>
    </w:p>
    <w:p w14:paraId="03438FAF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</w:t>
      </w:r>
      <w:r w:rsidR="004258C8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4. </w:t>
      </w:r>
      <w:proofErr w:type="spellStart"/>
      <w:r w:rsidR="004258C8"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="004258C8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4258C8" w:rsidRPr="009632B4">
        <w:rPr>
          <w:rFonts w:ascii="Arial" w:eastAsia="Times New Roman" w:hAnsi="Arial" w:cs="Arial"/>
          <w:color w:val="333333"/>
          <w:sz w:val="24"/>
          <w:szCs w:val="24"/>
        </w:rPr>
        <w:t>гишүүнд</w:t>
      </w:r>
      <w:proofErr w:type="spellEnd"/>
      <w:r w:rsidR="004258C8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258C8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мөнгөн тэтгэлэг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олгох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бөгөөд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түүний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хэмжээг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болон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санхүүгийн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асуудал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хариуцсан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төрийн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захиргааны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төв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байгууллага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тогтооно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1EBDCC1" w14:textId="77777777" w:rsidR="006A5A04" w:rsidRPr="009632B4" w:rsidRDefault="006A5A04" w:rsidP="00230CD7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дүгээр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харьяа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байгууллага</w:t>
      </w:r>
      <w:proofErr w:type="spellEnd"/>
    </w:p>
    <w:p w14:paraId="6080AA16" w14:textId="77777777" w:rsidR="006A5A04" w:rsidRPr="009632B4" w:rsidRDefault="006A5A04" w:rsidP="00230CD7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харьяандаа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өөрийн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чиг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үүрэг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зорилгоо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хэрэгжүүлэхэд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шаардлагатай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эрдэм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шинжилгээний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lastRenderedPageBreak/>
        <w:t>хүрээлэн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төв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лаборатори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бусад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нэгж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ажиллуулж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309F3E5" w14:textId="77777777" w:rsidR="00230CD7" w:rsidRPr="009632B4" w:rsidRDefault="008B33D4" w:rsidP="00230CD7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Үндэсний түүх, хэл, соёл, угсаатны зүйн эрдэм шинжилгээний музейг Академийн харьяанд ажиллуулна.</w:t>
      </w:r>
    </w:p>
    <w:p w14:paraId="6FDE733A" w14:textId="77777777" w:rsidR="006A5A04" w:rsidRPr="009632B4" w:rsidRDefault="006A5A04" w:rsidP="00230CD7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</w:p>
    <w:p w14:paraId="43F76C82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5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дугаар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 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удирдах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дээд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байгууллага</w:t>
      </w:r>
      <w:proofErr w:type="spellEnd"/>
    </w:p>
    <w:p w14:paraId="060A9B8F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1.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удирдах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дээд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байгууллага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гишүүдийн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/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цаашид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“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”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мөн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.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салбараар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/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цаашид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“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”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/-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FFE78BE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2.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жилд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хоёроос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доошгүй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удаа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хуралдана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.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гишүүдийн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гуравны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хоёроос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доошгүйн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саналаар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ээлжит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бус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хуралдуулж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06AE8EA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З.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дараахь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асуудлыг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хэлэлцэнэ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60763551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1/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технологийг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хөгжүүлэх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бодлого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эрдэм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шинжилгээний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төсөлт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ажлын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дүн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түүнийг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үйлдвэрлэлд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нэвтрүүлэх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арга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тус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технологийн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тодорхой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салбар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чиглэлийг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хөгжүүлэхэд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газарт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дэмжлэг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үзүүлэх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1E85C3D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2/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Монгол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эдийн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засаг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нийгмийн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хөгжлийн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байдалд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үнэлэлт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дүгнэлт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өгөх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зөвлөмж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гаргаж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Хурал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газарт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өргөн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барих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A2754A5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З/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дүрэм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түүнд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оруулах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нэмэлт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өөрчлөлтийг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хэлэлцэж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газраар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батлуулах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1E71888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4/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гишүүдийг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сонгох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9A4E408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5/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эрдэм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0500A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шинжилгээний</w:t>
      </w:r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аж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ил</w:t>
      </w:r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идэвхтэй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хийж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байгаа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гишүү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дээс</w:t>
      </w:r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нэр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дэвшүүлж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дэд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болон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эрдэмтэн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нарийн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бичгийн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даргыг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4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жилийн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хугацаагаар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сонгох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75CD03CF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</w:t>
      </w:r>
    </w:p>
    <w:p w14:paraId="55181488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4.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Монгол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сайд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0500A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соёрхон </w:t>
      </w:r>
      <w:proofErr w:type="spellStart"/>
      <w:r w:rsidR="000500A5" w:rsidRPr="009632B4">
        <w:rPr>
          <w:rFonts w:ascii="Arial" w:eastAsia="Times New Roman" w:hAnsi="Arial" w:cs="Arial"/>
          <w:color w:val="333333"/>
          <w:sz w:val="24"/>
          <w:szCs w:val="24"/>
        </w:rPr>
        <w:t>батламжилна</w:t>
      </w:r>
      <w:proofErr w:type="spellEnd"/>
      <w:r w:rsidR="000500A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Монгол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сайдын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технологийн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FB1CBB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бодлогын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зөвлөх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байна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7D89AD2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5.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дараахь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асуудлыг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хэлэлцэнэ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6BB835F7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1/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тухайн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салбарын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хөгжлийн бодлого, салбарын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чиглэлээр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хийж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судалгаа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шинжилгээний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ажлын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явц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дүнг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шүүн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хэлэлцэх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4FB301B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2/ </w:t>
      </w:r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төрийн болон бусад байгууллагын захиалга, санхүүжилтээр хийгдсэн </w:t>
      </w:r>
      <w:proofErr w:type="spell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эрдэм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шинжилгээний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ажлын</w:t>
      </w:r>
      <w:proofErr w:type="gramEnd"/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тайланг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</w:t>
      </w:r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элэлцэн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үнэлгээ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дүгнэлт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гарга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х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03713A87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</w:t>
      </w:r>
    </w:p>
    <w:p w14:paraId="29DF01CB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                        </w:t>
      </w:r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3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гишүүнд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нэр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дэвшүүлэх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B549DCA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</w:t>
      </w:r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4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эрдэмтди</w:t>
      </w:r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йг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шагнал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урамшилд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7C185C" w:rsidRPr="009632B4">
        <w:rPr>
          <w:rFonts w:ascii="Arial" w:eastAsia="Times New Roman" w:hAnsi="Arial" w:cs="Arial"/>
          <w:color w:val="333333"/>
          <w:sz w:val="24"/>
          <w:szCs w:val="24"/>
        </w:rPr>
        <w:t>тодорхойлох</w:t>
      </w:r>
      <w:proofErr w:type="spellEnd"/>
      <w:r w:rsidR="007C185C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.</w:t>
      </w:r>
    </w:p>
    <w:p w14:paraId="28362E71" w14:textId="77777777" w:rsidR="006A5A04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</w:p>
    <w:p w14:paraId="41A079CB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6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дугаар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тэргүүлэгчид</w:t>
      </w:r>
      <w:proofErr w:type="spellEnd"/>
    </w:p>
    <w:p w14:paraId="446D4B4B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1.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чөлөөт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цагт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түүний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өдөр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тутмын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үйл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ажиллагааг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удирдана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FEE6153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2.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дэд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эрдэмтэн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нарийн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бичгийн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гишүүдээс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бүрдэнэ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.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Дэд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тоог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тогтооно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7188843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З.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ажлын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албатай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бөгөөд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түүний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бүтэц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орон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тооны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хязгаарыг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тогтооно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3306DBF" w14:textId="77777777" w:rsidR="006A5A04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</w:p>
    <w:p w14:paraId="63EF1871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7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дугаар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үүрэг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эрх</w:t>
      </w:r>
      <w:proofErr w:type="spellEnd"/>
    </w:p>
    <w:p w14:paraId="6689A202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1.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дараахь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F22C9A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чиг </w:t>
      </w:r>
      <w:proofErr w:type="spellStart"/>
      <w:r w:rsidR="00F22C9A" w:rsidRPr="009632B4">
        <w:rPr>
          <w:rFonts w:ascii="Arial" w:eastAsia="Times New Roman" w:hAnsi="Arial" w:cs="Arial"/>
          <w:color w:val="333333"/>
          <w:sz w:val="24"/>
          <w:szCs w:val="24"/>
        </w:rPr>
        <w:t>үүргийг</w:t>
      </w:r>
      <w:proofErr w:type="spellEnd"/>
      <w:r w:rsidR="00F22C9A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F22C9A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хэрэгжүүлнэ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9190356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>           </w:t>
      </w:r>
    </w:p>
    <w:p w14:paraId="5FA1E79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</w:t>
      </w:r>
      <w:r w:rsidR="00F22C9A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1/ </w:t>
      </w:r>
      <w:r w:rsidR="00F22C9A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шинжлэх ухаан, технологийн талаарх төрийн зарим чиг үүргийг Засгийн газраас даалгасны дагуу хэрэгжүүлэх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13D59AD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</w:t>
      </w:r>
      <w:r w:rsidR="009A58C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2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эдийн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засаг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нийг</w:t>
      </w:r>
      <w:proofErr w:type="spellEnd"/>
      <w:r w:rsidR="009A58C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мийн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хөгж</w:t>
      </w:r>
      <w:proofErr w:type="spellEnd"/>
      <w:r w:rsidR="009A58C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и</w:t>
      </w:r>
      <w:r w:rsidR="009A58C7" w:rsidRPr="009632B4">
        <w:rPr>
          <w:rFonts w:ascii="Arial" w:eastAsia="Times New Roman" w:hAnsi="Arial" w:cs="Arial"/>
          <w:color w:val="333333"/>
          <w:sz w:val="24"/>
          <w:szCs w:val="24"/>
        </w:rPr>
        <w:t>л</w:t>
      </w:r>
      <w:r w:rsidR="009A58C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, байгаль орчны асуудлаар хараат бус судалгаа хийх,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цаашдын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A58C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хөгжлийн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чигл</w:t>
      </w:r>
      <w:r w:rsidR="009A58C7" w:rsidRPr="009632B4">
        <w:rPr>
          <w:rFonts w:ascii="Arial" w:eastAsia="Times New Roman" w:hAnsi="Arial" w:cs="Arial"/>
          <w:color w:val="333333"/>
          <w:sz w:val="24"/>
          <w:szCs w:val="24"/>
        </w:rPr>
        <w:t>эл</w:t>
      </w:r>
      <w:proofErr w:type="spellEnd"/>
      <w:r w:rsidR="009A58C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9A58C7" w:rsidRPr="009632B4">
        <w:rPr>
          <w:rFonts w:ascii="Arial" w:eastAsia="Times New Roman" w:hAnsi="Arial" w:cs="Arial"/>
          <w:color w:val="333333"/>
          <w:sz w:val="24"/>
          <w:szCs w:val="24"/>
        </w:rPr>
        <w:t>арга</w:t>
      </w:r>
      <w:proofErr w:type="spellEnd"/>
      <w:r w:rsidR="009A58C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9A58C7" w:rsidRPr="009632B4">
        <w:rPr>
          <w:rFonts w:ascii="Arial" w:eastAsia="Times New Roman" w:hAnsi="Arial" w:cs="Arial"/>
          <w:color w:val="333333"/>
          <w:sz w:val="24"/>
          <w:szCs w:val="24"/>
        </w:rPr>
        <w:t>замы</w:t>
      </w:r>
      <w:proofErr w:type="spellEnd"/>
      <w:r w:rsidR="009A58C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н талаар санал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боловсруулах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, Улсын Их Хурал, Засгийн газарт танилцуулах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09A61DF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</w:t>
      </w:r>
      <w:r w:rsidR="0042411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3</w:t>
      </w:r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proofErr w:type="spellStart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>ухаан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>технологи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, инновацийн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бодлогын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чиглэлийг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тодорхойлохтой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холбогдсон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дүгнэлт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, санал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гаргах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44D73CBB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</w:t>
      </w:r>
      <w:r w:rsidR="0042411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4</w:t>
      </w:r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proofErr w:type="spellStart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>ухаан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424117" w:rsidRPr="009632B4">
        <w:rPr>
          <w:rFonts w:ascii="Arial" w:eastAsia="Times New Roman" w:hAnsi="Arial" w:cs="Arial"/>
          <w:color w:val="333333"/>
          <w:sz w:val="24"/>
          <w:szCs w:val="24"/>
        </w:rPr>
        <w:t>технологи</w:t>
      </w:r>
      <w:proofErr w:type="spellEnd"/>
      <w:r w:rsidR="0042411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, инновацийн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хөтөлбөр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төсөлд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үнэлгээ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өгөх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хянан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магадлагаа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хийх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041A2C9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</w:t>
      </w:r>
      <w:r w:rsidR="00424117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5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салбарын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хөтөлбөр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чиглэл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түвшинд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тогтоосон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хугацаанд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үнэлгээ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дүгнэлт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өгөх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410EAC1F" w14:textId="77777777" w:rsidR="00424117" w:rsidRPr="009632B4" w:rsidRDefault="00424117" w:rsidP="00424117">
      <w:pPr>
        <w:shd w:val="clear" w:color="auto" w:fill="FFFFFF"/>
        <w:spacing w:after="150" w:line="270" w:lineRule="atLeast"/>
        <w:ind w:left="1440"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   6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Улсын Их Хурал, Засгийн газрын захиалгаар судалгааны ажил гүйцэтгэх, төсөл, хөтөлбөр хэрэгжүүлэх.</w:t>
      </w:r>
    </w:p>
    <w:p w14:paraId="6AEDF674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2.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</w:t>
      </w:r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еми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үйл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ажиллагаа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, санхүүгийн тайлангаа Аудитын дүгнэлтийн </w:t>
      </w:r>
      <w:proofErr w:type="gramStart"/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хамт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Хурлын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холбогдох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байнгын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хороо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, Засгийн газарт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жил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тутам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танилцуулна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614AE23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З.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зүйлийн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1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хэсэгт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заасан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үүргийг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гүйцэтгэх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талаар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газартай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гэрээ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ажиллана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2694112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4.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дараахь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хэрэгжүүлнэ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AF20689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1/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эзэмшилдээ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өмч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хөрөнгө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санхүүжилтийн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үүсвэрийг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зохих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хууль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тогтоомжийн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дагуу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захиран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зарцуулах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71F19C0B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                        2/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эрдэм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шинжилгээний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бүтээл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ном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сэтгүүл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хэвлэж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нийтлэх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5CFC4FE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3/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гадаад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байгууллагуудтай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харилцаа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тогтоох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хамтын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ажиллагаа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хөгжүүлэх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56912435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4/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өөрийн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нэрэмжит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шагнал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болгож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түүний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санг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926EB4F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5.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нь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зохих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журмын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дагуу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хийсэн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тамга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тэмдэг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хэвлэмэл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хуудас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хэрэглэнэ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51DF850" w14:textId="77777777" w:rsidR="006A5A04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</w:p>
    <w:p w14:paraId="69CBDAE5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8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дугаар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 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proofErr w:type="gram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ерөнхийлөгчийн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бүрэн</w:t>
      </w:r>
      <w:proofErr w:type="spellEnd"/>
      <w:proofErr w:type="gram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эрх</w:t>
      </w:r>
      <w:proofErr w:type="spellEnd"/>
    </w:p>
    <w:p w14:paraId="4C99681F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1.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дараахь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бүрэн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хэрэгжүүлнэ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43C3A7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1/ </w:t>
      </w:r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Монгол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хөгжлийн бодлого,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технологи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йг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хөгжүүлэх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асуудлаар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санал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зөвлөмж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боловсруулж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Хурал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Ерөнхийлөгч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газарт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өргөн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барих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059AB7FA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2/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болон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шаар</w:t>
      </w:r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длагатай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бусад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асуудал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F26B25" w:rsidRPr="009632B4">
        <w:rPr>
          <w:rFonts w:ascii="Arial" w:eastAsia="Times New Roman" w:hAnsi="Arial" w:cs="Arial"/>
          <w:color w:val="333333"/>
          <w:sz w:val="24"/>
          <w:szCs w:val="24"/>
        </w:rPr>
        <w:t>хэлэлц</w:t>
      </w:r>
      <w:proofErr w:type="spellEnd"/>
      <w:r w:rsidR="00F26B25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эх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газрын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хуралдаанд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зөвлөх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эрхтэй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оролцох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B90AAC5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</w:t>
      </w:r>
      <w:r w:rsidR="008B33D4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         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З/ </w:t>
      </w: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дотоод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гадаадад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төлөөлөх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7F3FCD8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4/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тэргүүлэгчдийн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газрын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өдөр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тутмын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үйл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ажиллагааг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удирдах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637A391" w14:textId="77777777" w:rsidR="006A5A04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</w:p>
    <w:p w14:paraId="1F8AB4E4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9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дүгээр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гишүүдийн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эрх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үүрэг</w:t>
      </w:r>
      <w:proofErr w:type="spellEnd"/>
    </w:p>
    <w:p w14:paraId="274A3FAF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1.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гишүүд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академичид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/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дор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дурдсан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эдэлж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үүрэг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хүлээнэ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6679E088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1/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удирдах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байгууллагад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сонгох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сонгогдох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CA7B7F1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2/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Улсын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Хурлын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Байнгын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хороод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төрийн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захиргааны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төв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байгууллагын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удирдах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зөвлөлийн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хуралд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шинжлэх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ухаан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технологийн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асуудлаар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зөвлөх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эрхтэй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оролцох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79488006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З/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Их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таслах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эрхтэй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оролцох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D646089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4/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Эрдэм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шинжилгээний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ажлынхаа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талаар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тэргүүлэгчдээр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уламжлан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Бага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чуулганд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жил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бүр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тайлагнах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ED8597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5/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дүрэмд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заасан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бусад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эрх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үүрэг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CEBE64C" w14:textId="77777777" w:rsidR="006A5A04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</w:p>
    <w:p w14:paraId="50EEA576" w14:textId="77777777" w:rsidR="006A5A04" w:rsidRPr="009632B4" w:rsidRDefault="006A5A04" w:rsidP="006A5A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4E6E04" w14:textId="77777777" w:rsidR="006A5A04" w:rsidRDefault="006A5A04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>ГУРАВДУГААР БҮЛЭГ</w:t>
      </w:r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Академийн</w:t>
      </w:r>
      <w:proofErr w:type="spellEnd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санхүүжилт</w:t>
      </w:r>
      <w:proofErr w:type="spellEnd"/>
      <w:r w:rsidRPr="009632B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 </w:t>
      </w:r>
    </w:p>
    <w:p w14:paraId="3B9D3BD7" w14:textId="77777777" w:rsidR="00E64535" w:rsidRPr="009632B4" w:rsidRDefault="00E64535" w:rsidP="006A5A0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</w:p>
    <w:p w14:paraId="51DF7A9A" w14:textId="77777777" w:rsidR="006A5A04" w:rsidRPr="009632B4" w:rsidRDefault="006A5A04" w:rsidP="006A5A0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293E9C"/>
          <w:sz w:val="24"/>
          <w:szCs w:val="24"/>
        </w:rPr>
      </w:pPr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            10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дугаар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зүйл</w:t>
      </w:r>
      <w:proofErr w:type="spellEnd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 xml:space="preserve">. </w:t>
      </w:r>
      <w:proofErr w:type="spellStart"/>
      <w:r w:rsidRPr="009632B4">
        <w:rPr>
          <w:rFonts w:ascii="Arial" w:eastAsia="Times New Roman" w:hAnsi="Arial" w:cs="Arial"/>
          <w:b/>
          <w:bCs/>
          <w:color w:val="293E9C"/>
          <w:sz w:val="24"/>
          <w:szCs w:val="24"/>
        </w:rPr>
        <w:t>Санхүүжилт</w:t>
      </w:r>
      <w:proofErr w:type="spellEnd"/>
    </w:p>
    <w:p w14:paraId="056F3633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            </w:t>
      </w:r>
      <w:r w:rsidR="003A35C3"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="003A35C3"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="003A35C3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>, түүний харьяа байгууллагуудын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үйл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ажиллагааны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зардлыг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дараахь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эх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үүсвэрээс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санхүүжүүлнэ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167EE43F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1/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төсвийн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хөрөнгө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D0714B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2/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төслийн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хөрөнгө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3B16893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</w:t>
      </w:r>
      <w:r w:rsidR="003A35C3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          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З/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өөрийн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үйл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ажиллагааны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орлого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8059191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             4/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бусад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орлого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8AE2A10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2.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Академи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түүний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харьяа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байгууллагуудын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 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үйл</w:t>
      </w:r>
      <w:proofErr w:type="spellEnd"/>
      <w:proofErr w:type="gram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ажиллагааны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санхүүжилтийн</w:t>
      </w:r>
      <w:proofErr w:type="spellEnd"/>
      <w:r w:rsidR="003A35C3" w:rsidRPr="009632B4">
        <w:rPr>
          <w:rFonts w:ascii="Arial" w:eastAsia="Times New Roman" w:hAnsi="Arial" w:cs="Arial"/>
          <w:color w:val="333333"/>
          <w:sz w:val="24"/>
          <w:szCs w:val="24"/>
          <w:lang w:val="mn-MN"/>
        </w:rPr>
        <w:t xml:space="preserve"> </w:t>
      </w:r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журмыг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Засгийн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газар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632B4">
        <w:rPr>
          <w:rFonts w:ascii="Arial" w:eastAsia="Times New Roman" w:hAnsi="Arial" w:cs="Arial"/>
          <w:color w:val="333333"/>
          <w:sz w:val="24"/>
          <w:szCs w:val="24"/>
        </w:rPr>
        <w:t>тогтооно</w:t>
      </w:r>
      <w:proofErr w:type="spellEnd"/>
      <w:r w:rsidRPr="009632B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C907F1A" w14:textId="77777777" w:rsidR="006A5A04" w:rsidRPr="009632B4" w:rsidRDefault="006A5A04" w:rsidP="006A5A04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</w:t>
      </w:r>
    </w:p>
    <w:p w14:paraId="2E68F9BD" w14:textId="77777777" w:rsidR="006A5A04" w:rsidRPr="009632B4" w:rsidRDefault="006A5A04" w:rsidP="006A5A04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</w:p>
    <w:p w14:paraId="0C4193B7" w14:textId="77777777" w:rsidR="006A5A04" w:rsidRPr="009632B4" w:rsidRDefault="006A5A04" w:rsidP="006A5A04">
      <w:pPr>
        <w:shd w:val="clear" w:color="auto" w:fill="FFFFFF"/>
        <w:spacing w:after="150" w:line="270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4ACC94F8" w14:textId="77777777" w:rsidR="006A5A04" w:rsidRPr="009632B4" w:rsidRDefault="006A5A04" w:rsidP="006A5A04">
      <w:pPr>
        <w:shd w:val="clear" w:color="auto" w:fill="FFFFFF"/>
        <w:spacing w:after="150" w:line="270" w:lineRule="atLeast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9632B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57BBE7E" w14:textId="77777777" w:rsidR="006A5A04" w:rsidRPr="009632B4" w:rsidRDefault="006A5A04" w:rsidP="006A5A04">
      <w:pPr>
        <w:rPr>
          <w:rFonts w:ascii="Arial" w:hAnsi="Arial" w:cs="Arial"/>
          <w:sz w:val="24"/>
          <w:szCs w:val="24"/>
        </w:rPr>
      </w:pPr>
    </w:p>
    <w:p w14:paraId="1747BDCB" w14:textId="77777777" w:rsidR="00EE3BA8" w:rsidRPr="009632B4" w:rsidRDefault="00EE3BA8">
      <w:pPr>
        <w:rPr>
          <w:rFonts w:ascii="Arial" w:hAnsi="Arial" w:cs="Arial"/>
          <w:sz w:val="24"/>
          <w:szCs w:val="24"/>
        </w:rPr>
      </w:pPr>
    </w:p>
    <w:sectPr w:rsidR="00EE3BA8" w:rsidRPr="00963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16E5E"/>
    <w:multiLevelType w:val="hybridMultilevel"/>
    <w:tmpl w:val="2612F248"/>
    <w:lvl w:ilvl="0" w:tplc="3BF6AF36">
      <w:start w:val="1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BE26113"/>
    <w:multiLevelType w:val="hybridMultilevel"/>
    <w:tmpl w:val="B234084A"/>
    <w:lvl w:ilvl="0" w:tplc="72FCCDAA">
      <w:start w:val="1"/>
      <w:numFmt w:val="decimal"/>
      <w:lvlText w:val="%1."/>
      <w:lvlJc w:val="left"/>
      <w:pPr>
        <w:ind w:left="3156" w:hanging="1284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">
    <w:nsid w:val="2AD742F0"/>
    <w:multiLevelType w:val="hybridMultilevel"/>
    <w:tmpl w:val="AD6ECD92"/>
    <w:lvl w:ilvl="0" w:tplc="42AE6114">
      <w:start w:val="4"/>
      <w:numFmt w:val="decimal"/>
      <w:lvlText w:val="%1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>
    <w:nsid w:val="36853FEF"/>
    <w:multiLevelType w:val="hybridMultilevel"/>
    <w:tmpl w:val="17AA5CA0"/>
    <w:lvl w:ilvl="0" w:tplc="FED256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04"/>
    <w:rsid w:val="000500A5"/>
    <w:rsid w:val="00230CD7"/>
    <w:rsid w:val="003A35C3"/>
    <w:rsid w:val="00424117"/>
    <w:rsid w:val="004258C8"/>
    <w:rsid w:val="00490A09"/>
    <w:rsid w:val="006A5A04"/>
    <w:rsid w:val="007C185C"/>
    <w:rsid w:val="007F1937"/>
    <w:rsid w:val="008B33D4"/>
    <w:rsid w:val="008C3E4F"/>
    <w:rsid w:val="009632B4"/>
    <w:rsid w:val="009A58C7"/>
    <w:rsid w:val="00DA2D02"/>
    <w:rsid w:val="00E64535"/>
    <w:rsid w:val="00EE3BA8"/>
    <w:rsid w:val="00F22C9A"/>
    <w:rsid w:val="00F26B25"/>
    <w:rsid w:val="00F36420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9A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A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1193</Words>
  <Characters>6803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2018-06-18T09:11:00Z</dcterms:created>
  <dcterms:modified xsi:type="dcterms:W3CDTF">2018-06-18T10:25:00Z</dcterms:modified>
</cp:coreProperties>
</file>