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2CE57" w14:textId="0DF311FD" w:rsidR="00C55638" w:rsidRPr="00C55638" w:rsidRDefault="00C55638" w:rsidP="00C55638">
      <w:pPr>
        <w:shd w:val="clear" w:color="auto" w:fill="FFFFFF"/>
        <w:spacing w:before="100" w:beforeAutospacing="1" w:after="100" w:afterAutospacing="1" w:line="360" w:lineRule="auto"/>
        <w:jc w:val="right"/>
        <w:rPr>
          <w:rFonts w:eastAsia="Times New Roman"/>
          <w:color w:val="000000"/>
          <w:szCs w:val="15"/>
        </w:rPr>
      </w:pPr>
      <w:r w:rsidRPr="00C55638">
        <w:rPr>
          <w:rFonts w:ascii="Arial" w:eastAsia="Times New Roman" w:hAnsi="Arial" w:cs="Arial"/>
          <w:color w:val="000000"/>
          <w:sz w:val="24"/>
          <w:szCs w:val="24"/>
        </w:rPr>
        <w:t>Төсөл</w:t>
      </w:r>
    </w:p>
    <w:p w14:paraId="4FB2C74E" w14:textId="77777777" w:rsidR="00C55638" w:rsidRPr="00C55638" w:rsidRDefault="00C55638" w:rsidP="00C55638">
      <w:pPr>
        <w:shd w:val="clear" w:color="auto" w:fill="FFFFFF"/>
        <w:spacing w:before="100" w:beforeAutospacing="1" w:after="100" w:afterAutospacing="1" w:line="360" w:lineRule="auto"/>
        <w:jc w:val="center"/>
        <w:rPr>
          <w:rFonts w:eastAsia="Times New Roman"/>
          <w:color w:val="000000"/>
          <w:szCs w:val="15"/>
        </w:rPr>
      </w:pPr>
      <w:bookmarkStart w:id="0" w:name="_GoBack"/>
      <w:r w:rsidRPr="00C55638">
        <w:rPr>
          <w:rFonts w:ascii="Arial" w:eastAsia="Times New Roman" w:hAnsi="Arial" w:cs="Arial"/>
          <w:b/>
          <w:bCs/>
          <w:color w:val="000000"/>
          <w:sz w:val="24"/>
          <w:szCs w:val="24"/>
          <w:lang w:val="mn-MN"/>
        </w:rPr>
        <w:t>ШҮҮХИЙН ЗАХИРГААНЫ ТУХАЙ ХУУЛЬД НЭМЭЛТ,</w:t>
      </w:r>
    </w:p>
    <w:p w14:paraId="1894E42A" w14:textId="77777777" w:rsidR="00C55638" w:rsidRPr="00C55638" w:rsidRDefault="00C55638" w:rsidP="00C55638">
      <w:pPr>
        <w:shd w:val="clear" w:color="auto" w:fill="FFFFFF"/>
        <w:spacing w:before="100" w:beforeAutospacing="1" w:after="100" w:afterAutospacing="1" w:line="360" w:lineRule="auto"/>
        <w:jc w:val="center"/>
        <w:rPr>
          <w:rFonts w:eastAsia="Times New Roman"/>
          <w:color w:val="000000"/>
          <w:szCs w:val="15"/>
        </w:rPr>
      </w:pPr>
      <w:r w:rsidRPr="00C55638">
        <w:rPr>
          <w:rFonts w:ascii="Arial" w:eastAsia="Times New Roman" w:hAnsi="Arial" w:cs="Arial"/>
          <w:b/>
          <w:bCs/>
          <w:color w:val="000000"/>
          <w:sz w:val="24"/>
          <w:szCs w:val="24"/>
          <w:lang w:val="mn-MN"/>
        </w:rPr>
        <w:t>ӨӨРЧЛӨЛТ ОРУУЛАХ ТУХАЙ ХУУЛЬ</w:t>
      </w:r>
    </w:p>
    <w:bookmarkEnd w:id="0"/>
    <w:p w14:paraId="3563B53C" w14:textId="36A2D785"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b/>
          <w:bCs/>
          <w:color w:val="000000"/>
          <w:sz w:val="24"/>
          <w:szCs w:val="24"/>
          <w:lang w:val="mn-MN"/>
        </w:rPr>
        <w:t>1 дүгээр зүйл.</w:t>
      </w:r>
      <w:r w:rsidRPr="00C55638">
        <w:rPr>
          <w:rFonts w:ascii="Arial" w:eastAsia="Times New Roman" w:hAnsi="Arial" w:cs="Arial"/>
          <w:color w:val="000000"/>
          <w:sz w:val="24"/>
          <w:szCs w:val="24"/>
          <w:lang w:val="mn-MN"/>
        </w:rPr>
        <w:t>Шүүхийн захиргааны тухай хуульд доор дурдсан агуулгатай зүйл, хэсэг нэмсүгэй.</w:t>
      </w:r>
    </w:p>
    <w:p w14:paraId="442A6867" w14:textId="58C323EA" w:rsidR="00C55638" w:rsidRPr="00C55638" w:rsidRDefault="00C55638" w:rsidP="00C55638">
      <w:pPr>
        <w:shd w:val="clear" w:color="auto" w:fill="FFFFFF"/>
        <w:spacing w:before="100" w:beforeAutospacing="1" w:after="100" w:afterAutospacing="1" w:line="360" w:lineRule="auto"/>
        <w:ind w:left="720"/>
        <w:jc w:val="both"/>
        <w:rPr>
          <w:rFonts w:eastAsia="Times New Roman"/>
          <w:color w:val="000000"/>
          <w:szCs w:val="15"/>
        </w:rPr>
      </w:pPr>
      <w:r w:rsidRPr="00C55638">
        <w:rPr>
          <w:rFonts w:ascii="Arial" w:eastAsia="Times New Roman" w:hAnsi="Arial" w:cs="Arial"/>
          <w:b/>
          <w:bCs/>
          <w:color w:val="000000"/>
          <w:sz w:val="24"/>
          <w:szCs w:val="24"/>
          <w:lang w:val="mn-MN"/>
        </w:rPr>
        <w:t>1/13</w:t>
      </w:r>
      <w:r w:rsidRPr="00C55638">
        <w:rPr>
          <w:rFonts w:ascii="Arial" w:eastAsia="Times New Roman" w:hAnsi="Arial" w:cs="Arial"/>
          <w:b/>
          <w:bCs/>
          <w:color w:val="000000"/>
          <w:sz w:val="24"/>
          <w:szCs w:val="24"/>
          <w:vertAlign w:val="superscript"/>
          <w:lang w:val="mn-MN"/>
        </w:rPr>
        <w:t>1 </w:t>
      </w:r>
      <w:r w:rsidRPr="00C55638">
        <w:rPr>
          <w:rFonts w:ascii="Arial" w:eastAsia="Times New Roman" w:hAnsi="Arial" w:cs="Arial"/>
          <w:b/>
          <w:bCs/>
          <w:color w:val="000000"/>
          <w:sz w:val="24"/>
          <w:szCs w:val="24"/>
          <w:lang w:val="mn-MN"/>
        </w:rPr>
        <w:t>дугаар зүйл. Ерөнхий зөвлөлийн гишүүнийг сонгох журам</w:t>
      </w:r>
    </w:p>
    <w:p w14:paraId="1307A57F" w14:textId="766D5E5D" w:rsidR="00C55638" w:rsidRPr="00C55638" w:rsidRDefault="00C55638" w:rsidP="00C55638">
      <w:pPr>
        <w:shd w:val="clear" w:color="auto" w:fill="FFFFFF"/>
        <w:spacing w:after="150" w:line="360" w:lineRule="auto"/>
        <w:ind w:firstLine="720"/>
        <w:jc w:val="both"/>
        <w:textAlignment w:val="top"/>
        <w:rPr>
          <w:rFonts w:eastAsia="Times New Roman"/>
          <w:color w:val="000000"/>
          <w:szCs w:val="15"/>
        </w:rPr>
      </w:pPr>
      <w:r w:rsidRPr="00C55638">
        <w:rPr>
          <w:rFonts w:ascii="Arial" w:eastAsia="Times New Roman" w:hAnsi="Arial" w:cs="Arial"/>
          <w:color w:val="000000"/>
          <w:szCs w:val="15"/>
          <w:lang w:val="mn-MN"/>
        </w:rPr>
        <w:t>“13</w:t>
      </w:r>
      <w:r w:rsidRPr="00C55638">
        <w:rPr>
          <w:rFonts w:ascii="Arial" w:eastAsia="Times New Roman" w:hAnsi="Arial" w:cs="Arial"/>
          <w:color w:val="000000"/>
          <w:szCs w:val="15"/>
          <w:vertAlign w:val="superscript"/>
          <w:lang w:val="mn-MN"/>
        </w:rPr>
        <w:t>1</w:t>
      </w:r>
      <w:r w:rsidRPr="00C55638">
        <w:rPr>
          <w:rFonts w:ascii="Arial" w:eastAsia="Times New Roman" w:hAnsi="Arial" w:cs="Arial"/>
          <w:color w:val="000000"/>
          <w:szCs w:val="15"/>
          <w:lang w:val="mn-MN"/>
        </w:rPr>
        <w:t>.1.Энэ хуулийн 13.1-т заасны дагуу Ерөнхий зөвлөлийн гишүүнийг Улсын Их Хурлаас томилохдоо Улсын Их Хурлын Хууль зүйн байнгын хороо, Төсвийн байнгын хороо тус бүр нэг хүний нэр дэвшүүлж, Улсын Их Хурал томилно.</w:t>
      </w:r>
    </w:p>
    <w:p w14:paraId="5E443D6D" w14:textId="4FCB9BE1"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.2.Анхан болон давж заалдах шатны шүүхийн шүүгчдийн зөвлөгөөн, Монголын хуульчдын холбооноос Ерөнхий зөвлөлийн гишүүний сонгуулийг зохион байгуулах хамтарсан ажлын хэсгийн бүрэлдэхүүнд Монголын хуульчдын холбооны Шүүгчдийн хорооны удирдах зөвлөл 4 хуульчийг, Монголын шүүгчдийн холбооны удирдах зөвлөл 3 шүүгчийг тус тус томилно. Ерөнхий зөвлөлийн гишүүнийг нэр дэвшүүлэх, сонгох журмыг Монголын хуульчдын холбооны ерөнхийлөгч батална.</w:t>
      </w:r>
    </w:p>
    <w:p w14:paraId="7AF57176" w14:textId="77777777" w:rsidR="00C55638" w:rsidRPr="00C55638" w:rsidRDefault="00C55638" w:rsidP="00C55638">
      <w:pPr>
        <w:shd w:val="clear" w:color="auto" w:fill="FFFFFF"/>
        <w:spacing w:after="150" w:line="360" w:lineRule="auto"/>
        <w:ind w:firstLine="720"/>
        <w:jc w:val="both"/>
        <w:textAlignment w:val="top"/>
        <w:rPr>
          <w:rFonts w:eastAsia="Times New Roman"/>
          <w:color w:val="000000"/>
          <w:szCs w:val="15"/>
        </w:rPr>
      </w:pPr>
      <w:r w:rsidRPr="00C55638">
        <w:rPr>
          <w:rFonts w:ascii="Arial" w:eastAsia="Times New Roman" w:hAnsi="Arial" w:cs="Arial"/>
          <w:color w:val="000000"/>
          <w:szCs w:val="15"/>
          <w:lang w:val="mn-MN"/>
        </w:rPr>
        <w:t>13</w:t>
      </w:r>
      <w:r w:rsidRPr="00C55638">
        <w:rPr>
          <w:rFonts w:ascii="Arial" w:eastAsia="Times New Roman" w:hAnsi="Arial" w:cs="Arial"/>
          <w:color w:val="000000"/>
          <w:szCs w:val="15"/>
          <w:vertAlign w:val="superscript"/>
          <w:lang w:val="mn-MN"/>
        </w:rPr>
        <w:t>1</w:t>
      </w:r>
      <w:r w:rsidRPr="00C55638">
        <w:rPr>
          <w:rFonts w:ascii="Arial" w:eastAsia="Times New Roman" w:hAnsi="Arial" w:cs="Arial"/>
          <w:color w:val="000000"/>
          <w:szCs w:val="15"/>
          <w:lang w:val="mn-MN"/>
        </w:rPr>
        <w:t>.3.Анхан болон давж заалдах шатны шүүхийн шүүгчдийн болон Монголын хуульчдын холбооны Шүүгчдийн хорооны гишүүдийн тавиас дээш хувь нь оролцсоноор сонгуулийг хүчинтэйд тооцно.</w:t>
      </w:r>
    </w:p>
    <w:p w14:paraId="0E2FD44C" w14:textId="04E49CA7"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.4.Ажлын хэсгийг Ерөнхий зөвлөлийн гишүүний бүрэн эрх дуусгавар болохоос нэг сарын өмнө байгуулах бөгөөд Ерөнхий зөвлөлийн ажлын алба, шүүхийн тамгын газар техник, зохион байгуулалтын туслалцаа үзүүлнэ.  </w:t>
      </w:r>
    </w:p>
    <w:p w14:paraId="250F8F62" w14:textId="1494850A"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.5.Ерөнхий зөвлөлийн гишүүнийг томилох хууль зүйн их, дээд сургуулийн захирлуудын хамтарсан хуралдааныг Шүүхийн ерөнхий зөвлөлийн ажлын алба зохион байгуулна.</w:t>
      </w:r>
    </w:p>
    <w:p w14:paraId="4CE65EC5" w14:textId="143FDBDB"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shd w:val="clear" w:color="auto" w:fill="FFFFFF"/>
          <w:lang w:val="mn-MN"/>
        </w:rPr>
        <w:t>13</w:t>
      </w:r>
      <w:r w:rsidRPr="00C55638">
        <w:rPr>
          <w:rFonts w:ascii="Arial" w:eastAsia="Times New Roman" w:hAnsi="Arial" w:cs="Arial"/>
          <w:color w:val="000000"/>
          <w:sz w:val="24"/>
          <w:szCs w:val="24"/>
          <w:shd w:val="clear" w:color="auto" w:fill="FFFFFF"/>
          <w:vertAlign w:val="superscript"/>
          <w:lang w:val="mn-MN"/>
        </w:rPr>
        <w:t>1</w:t>
      </w:r>
      <w:r w:rsidRPr="00C55638">
        <w:rPr>
          <w:rFonts w:ascii="Arial" w:eastAsia="Times New Roman" w:hAnsi="Arial" w:cs="Arial"/>
          <w:color w:val="000000"/>
          <w:sz w:val="24"/>
          <w:szCs w:val="24"/>
          <w:shd w:val="clear" w:color="auto" w:fill="FFFFFF"/>
          <w:lang w:val="mn-MN"/>
        </w:rPr>
        <w:t>.6.Ерөнхий зөвлөлийн гишүүнд нэр дэвшүүлэх, сонгох, томилох ажиллагаа олон нийтэд ил тод, нээлттэй байна.</w:t>
      </w:r>
    </w:p>
    <w:p w14:paraId="5D19B356" w14:textId="3F91C8B0"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lastRenderedPageBreak/>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.7.Ерөнхий зөвлөлийн гишүүний сонгууль шударга, ил тод, нууцаар санал хураах зарчмыг баримтлах бөгөөд олонхийн санал авсан нэр дэвшигчийг Ерөнхий зөвлөлийн гишүүнээр сонгогдсонд тооцож, тогтоол батална.</w:t>
      </w:r>
    </w:p>
    <w:p w14:paraId="65B500D3" w14:textId="2DFBF9DD"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.8.Ерөнхий зөвлөлийн гишүүнийг сонгох, томилох хуралдааныг цахим хэлбэрээр явуулж болно.”</w:t>
      </w:r>
    </w:p>
    <w:p w14:paraId="6FD3A8F3" w14:textId="5452A58C" w:rsidR="00C55638" w:rsidRPr="00617F63" w:rsidRDefault="00C55638" w:rsidP="00617F63">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13</w:t>
      </w:r>
      <w:r w:rsidRPr="00C55638">
        <w:rPr>
          <w:rFonts w:ascii="Arial" w:eastAsia="Times New Roman" w:hAnsi="Arial" w:cs="Arial"/>
          <w:color w:val="000000"/>
          <w:sz w:val="24"/>
          <w:szCs w:val="24"/>
          <w:vertAlign w:val="superscript"/>
          <w:lang w:val="mn-MN"/>
        </w:rPr>
        <w:t>1</w:t>
      </w:r>
      <w:r w:rsidRPr="00C55638">
        <w:rPr>
          <w:rFonts w:ascii="Arial" w:eastAsia="Times New Roman" w:hAnsi="Arial" w:cs="Arial"/>
          <w:color w:val="000000"/>
          <w:sz w:val="24"/>
          <w:szCs w:val="24"/>
          <w:lang w:val="mn-MN"/>
        </w:rPr>
        <w:t>.8.Ерөнхий зөвлөлийн гишүүнийг сонгох, томилох хуралдааныг цахим хэлбэрээр явуулж болно.”</w:t>
      </w:r>
    </w:p>
    <w:p w14:paraId="14A1F3BE" w14:textId="165902F8" w:rsidR="00C55638" w:rsidRPr="00C55638" w:rsidRDefault="00C55638" w:rsidP="00C55638">
      <w:pPr>
        <w:shd w:val="clear" w:color="auto" w:fill="FFFFFF"/>
        <w:spacing w:before="100" w:beforeAutospacing="1" w:after="100" w:afterAutospacing="1" w:line="360" w:lineRule="auto"/>
        <w:ind w:left="720" w:firstLine="720"/>
        <w:jc w:val="both"/>
        <w:rPr>
          <w:rFonts w:eastAsia="Times New Roman"/>
          <w:color w:val="000000"/>
          <w:szCs w:val="15"/>
        </w:rPr>
      </w:pPr>
      <w:r w:rsidRPr="00C55638">
        <w:rPr>
          <w:rFonts w:ascii="Arial" w:eastAsia="Times New Roman" w:hAnsi="Arial" w:cs="Arial"/>
          <w:b/>
          <w:bCs/>
          <w:color w:val="000000"/>
          <w:sz w:val="24"/>
          <w:szCs w:val="24"/>
          <w:u w:val="single"/>
          <w:lang w:val="mn-MN"/>
        </w:rPr>
        <w:t>2/14 дүгээр зүйлийн 14.5 дахь хэсэг:</w:t>
      </w:r>
      <w:r w:rsidRPr="00C55638">
        <w:rPr>
          <w:rFonts w:ascii="Arial" w:eastAsia="Times New Roman" w:hAnsi="Arial" w:cs="Arial"/>
          <w:b/>
          <w:bCs/>
          <w:color w:val="000000"/>
          <w:sz w:val="24"/>
          <w:szCs w:val="24"/>
          <w:lang w:val="mn-MN"/>
        </w:rPr>
        <w:t> </w:t>
      </w:r>
    </w:p>
    <w:p w14:paraId="2659C51B" w14:textId="4345D415"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“14.5.Гүйцэтгэх нарийн бичгийн дарга эрх хэмжээнийхээ хүрээнд тушаал гаргана.”</w:t>
      </w:r>
    </w:p>
    <w:p w14:paraId="4C008058" w14:textId="156F0285" w:rsidR="00C55638" w:rsidRPr="00C55638" w:rsidRDefault="00C55638" w:rsidP="00C55638">
      <w:pPr>
        <w:shd w:val="clear" w:color="auto" w:fill="FFFFFF"/>
        <w:spacing w:before="100" w:beforeAutospacing="1" w:after="100" w:afterAutospacing="1" w:line="360" w:lineRule="auto"/>
        <w:ind w:left="720" w:firstLine="720"/>
        <w:jc w:val="both"/>
        <w:rPr>
          <w:rFonts w:eastAsia="Times New Roman"/>
          <w:color w:val="000000"/>
          <w:szCs w:val="15"/>
        </w:rPr>
      </w:pPr>
      <w:r w:rsidRPr="00C55638">
        <w:rPr>
          <w:rFonts w:ascii="Arial" w:eastAsia="Times New Roman" w:hAnsi="Arial" w:cs="Arial"/>
          <w:b/>
          <w:bCs/>
          <w:color w:val="000000"/>
          <w:sz w:val="24"/>
          <w:szCs w:val="24"/>
          <w:u w:val="single"/>
          <w:lang w:val="mn-MN"/>
        </w:rPr>
        <w:t>3/17 дугаар зүйлийн 17.3 дахь хэсэг:</w:t>
      </w:r>
    </w:p>
    <w:p w14:paraId="5CCD1102" w14:textId="1457AEE1"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“17.3.Ерөнхий зөвлөлийн гишүүний ёс зүйн дүрмийг Улсын Их Хурал батална.”</w:t>
      </w:r>
    </w:p>
    <w:p w14:paraId="53E8F5AD" w14:textId="654CAAB6"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b/>
          <w:bCs/>
          <w:color w:val="000000"/>
          <w:sz w:val="24"/>
          <w:szCs w:val="24"/>
          <w:lang w:val="mn-MN"/>
        </w:rPr>
        <w:t>2 дугаар зүйл.</w:t>
      </w:r>
      <w:r w:rsidRPr="00C55638">
        <w:rPr>
          <w:rFonts w:ascii="Arial" w:eastAsia="Times New Roman" w:hAnsi="Arial" w:cs="Arial"/>
          <w:color w:val="000000"/>
          <w:sz w:val="24"/>
          <w:szCs w:val="24"/>
          <w:lang w:val="mn-MN"/>
        </w:rPr>
        <w:t>Шүүхийн захиргааны тухай хуулийн 13 дугаар зүйлийн 13.5 дахь хэсгийн “Ерөнхий зөвлөлийн” гэсний дараа “орон тооны” гэж, “баталгаагаар хангагдана.” гэсний дараа “Ерөнхий зөвлөлийн орон тооны бус гишүүний урамшууллын хэмжээг Ерөнхий зөвлөл тогтооно.” гэж, 32 дугаар зүйлийн 32.3 дахь хэсгийн “өмгөөлөгч, прокурор” гэсний дараа “, цагдаа” гэж тус тус нэмсүгэй.</w:t>
      </w:r>
    </w:p>
    <w:p w14:paraId="2B25C4B1" w14:textId="77777777"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b/>
          <w:bCs/>
          <w:color w:val="000000"/>
          <w:sz w:val="24"/>
          <w:szCs w:val="24"/>
          <w:lang w:val="mn-MN"/>
        </w:rPr>
        <w:t>3 дугаар зүйл.</w:t>
      </w:r>
      <w:r w:rsidRPr="00C55638">
        <w:rPr>
          <w:rFonts w:ascii="Arial" w:eastAsia="Times New Roman" w:hAnsi="Arial" w:cs="Arial"/>
          <w:color w:val="000000"/>
          <w:sz w:val="24"/>
          <w:szCs w:val="24"/>
          <w:lang w:val="mn-MN"/>
        </w:rPr>
        <w:t>Шүүхийн захиргааны тухай хуулийн 32 дугаар зүйлийн 32.3 дахь хэсгийн “хүний нэрийг дэвшүүлнэ” гэснийг “хүнийг томилно.” гэж, мөн зүйлийн 32.4 дэх хэсгийн “дүрэм, бүрэлдэхүүнийг” гэснийг “дүрмийг” гэж тус тус өөрчилсүгэй.</w:t>
      </w:r>
    </w:p>
    <w:p w14:paraId="4C3ABA6F" w14:textId="77777777"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b/>
          <w:bCs/>
          <w:color w:val="000000"/>
          <w:sz w:val="24"/>
          <w:szCs w:val="24"/>
          <w:lang w:val="mn-MN"/>
        </w:rPr>
        <w:t>4 дүгээр зүйл.</w:t>
      </w:r>
      <w:r w:rsidRPr="00C55638">
        <w:rPr>
          <w:rFonts w:ascii="Arial" w:eastAsia="Times New Roman" w:hAnsi="Arial" w:cs="Arial"/>
          <w:color w:val="000000"/>
          <w:sz w:val="24"/>
          <w:szCs w:val="24"/>
          <w:lang w:val="mn-MN"/>
        </w:rPr>
        <w:t>Шүүхийн захиргааны тухай хуулийн зарим хэсгийг доор дурдсанаар өөрчлөн найруулсугай.</w:t>
      </w:r>
    </w:p>
    <w:p w14:paraId="4FF471D2" w14:textId="77777777" w:rsidR="00617F63" w:rsidRDefault="00617F63" w:rsidP="00C55638">
      <w:pPr>
        <w:shd w:val="clear" w:color="auto" w:fill="FFFFFF"/>
        <w:spacing w:before="100" w:beforeAutospacing="1" w:after="100" w:afterAutospacing="1" w:line="360" w:lineRule="auto"/>
        <w:ind w:left="720" w:firstLine="720"/>
        <w:jc w:val="both"/>
        <w:rPr>
          <w:rFonts w:ascii="Arial" w:eastAsia="Times New Roman" w:hAnsi="Arial" w:cs="Arial"/>
          <w:b/>
          <w:bCs/>
          <w:color w:val="000000"/>
          <w:sz w:val="24"/>
          <w:szCs w:val="24"/>
          <w:lang w:val="mn-MN"/>
        </w:rPr>
      </w:pPr>
    </w:p>
    <w:p w14:paraId="1A5861A5" w14:textId="77777777" w:rsidR="00617F63" w:rsidRDefault="00617F63" w:rsidP="00C55638">
      <w:pPr>
        <w:shd w:val="clear" w:color="auto" w:fill="FFFFFF"/>
        <w:spacing w:before="100" w:beforeAutospacing="1" w:after="100" w:afterAutospacing="1" w:line="360" w:lineRule="auto"/>
        <w:ind w:left="720" w:firstLine="720"/>
        <w:jc w:val="both"/>
        <w:rPr>
          <w:rFonts w:ascii="Arial" w:eastAsia="Times New Roman" w:hAnsi="Arial" w:cs="Arial"/>
          <w:b/>
          <w:bCs/>
          <w:color w:val="000000"/>
          <w:sz w:val="24"/>
          <w:szCs w:val="24"/>
          <w:lang w:val="mn-MN"/>
        </w:rPr>
      </w:pPr>
    </w:p>
    <w:p w14:paraId="52627EA0" w14:textId="6FBF5623" w:rsidR="00C55638" w:rsidRPr="00C55638" w:rsidRDefault="00C55638" w:rsidP="00C55638">
      <w:pPr>
        <w:shd w:val="clear" w:color="auto" w:fill="FFFFFF"/>
        <w:spacing w:before="100" w:beforeAutospacing="1" w:after="100" w:afterAutospacing="1" w:line="360" w:lineRule="auto"/>
        <w:ind w:left="720" w:firstLine="720"/>
        <w:jc w:val="both"/>
        <w:rPr>
          <w:rFonts w:eastAsia="Times New Roman"/>
          <w:color w:val="000000"/>
          <w:szCs w:val="15"/>
        </w:rPr>
      </w:pPr>
      <w:r w:rsidRPr="00C55638">
        <w:rPr>
          <w:rFonts w:ascii="Arial" w:eastAsia="Times New Roman" w:hAnsi="Arial" w:cs="Arial"/>
          <w:b/>
          <w:bCs/>
          <w:color w:val="000000"/>
          <w:sz w:val="24"/>
          <w:szCs w:val="24"/>
          <w:lang w:val="mn-MN"/>
        </w:rPr>
        <w:lastRenderedPageBreak/>
        <w:t>1/13 дугаар зүйлийн 13.1 дэх хэсэг:</w:t>
      </w:r>
    </w:p>
    <w:p w14:paraId="58054368" w14:textId="5E47911A"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000000"/>
          <w:sz w:val="24"/>
          <w:szCs w:val="24"/>
          <w:lang w:val="mn-MN"/>
        </w:rPr>
        <w:t xml:space="preserve"> “13.1.</w:t>
      </w:r>
      <w:r w:rsidRPr="00C55638">
        <w:rPr>
          <w:rFonts w:ascii="Arial" w:eastAsia="Times New Roman" w:hAnsi="Arial" w:cs="Arial"/>
          <w:color w:val="333333"/>
          <w:sz w:val="24"/>
          <w:szCs w:val="24"/>
        </w:rPr>
        <w:t>Ерөнхий зөвлөл нь дарга, 14 гишүүнээс бүрдэх бөгөөд бүрэлдэхүүнд Улсын дээд шүүхийн Ерөнхий шүүгч, Улсын ерөнхий прокурор, Хүний эрхийн үндэсний комиссын дарга, Шинжлэх ухааны академийн ерөнхийлөгч, Өмгөөлөгчдийн холбооны ерөнхийлөгч албан тушаалаараа, Улсын Их Хурал хоёр хүнийг, Монгол Улсын Ерөнхийлөгч, хууль зүйн асуудал эрхэлсэн төрийн захиргааны төв байгууллага, анхан болон давж заалдах шатны шүүхийн шүүгчдийн зөвлөгөөн, </w:t>
      </w:r>
      <w:r w:rsidRPr="00C55638">
        <w:rPr>
          <w:rFonts w:ascii="Arial" w:eastAsia="Times New Roman" w:hAnsi="Arial" w:cs="Arial"/>
          <w:color w:val="000000"/>
          <w:sz w:val="24"/>
          <w:szCs w:val="24"/>
          <w:shd w:val="clear" w:color="auto" w:fill="FFFFFF"/>
          <w:lang w:val="mn-MN"/>
        </w:rPr>
        <w:t>нийслэлийн Иргэдийн төлөөлөгчдийн хурал</w:t>
      </w:r>
      <w:r w:rsidRPr="00C55638">
        <w:rPr>
          <w:rFonts w:ascii="Arial" w:eastAsia="Times New Roman" w:hAnsi="Arial" w:cs="Arial"/>
          <w:color w:val="333333"/>
          <w:sz w:val="24"/>
          <w:szCs w:val="24"/>
        </w:rPr>
        <w:t>, Монголын хуульчдын холбооны удирдах зөвлөл, хууль зүйн их сургуулийн захирлуудын хамтарсан зөвлөгөөн, Монголын үндэсний худалдаа, аж үйлдвэрийн танхимаас тус бүр нэг хүнийг томилно.”</w:t>
      </w:r>
    </w:p>
    <w:p w14:paraId="1C596299" w14:textId="2C2EE989" w:rsidR="00C55638" w:rsidRPr="00C55638" w:rsidRDefault="00C55638" w:rsidP="00C55638">
      <w:pPr>
        <w:shd w:val="clear" w:color="auto" w:fill="FFFFFF"/>
        <w:spacing w:before="100" w:beforeAutospacing="1" w:after="100" w:afterAutospacing="1" w:line="360" w:lineRule="auto"/>
        <w:ind w:left="720" w:firstLine="720"/>
        <w:jc w:val="both"/>
        <w:rPr>
          <w:rFonts w:eastAsia="Times New Roman"/>
          <w:color w:val="000000"/>
          <w:szCs w:val="15"/>
        </w:rPr>
      </w:pPr>
      <w:r w:rsidRPr="00C55638">
        <w:rPr>
          <w:rFonts w:ascii="Arial" w:eastAsia="Times New Roman" w:hAnsi="Arial" w:cs="Arial"/>
          <w:b/>
          <w:bCs/>
          <w:color w:val="000000"/>
          <w:sz w:val="24"/>
          <w:szCs w:val="24"/>
          <w:lang w:val="mn-MN"/>
        </w:rPr>
        <w:t>2/13 дугаар зүйлийн 13.2 дахь хэсэг:</w:t>
      </w:r>
    </w:p>
    <w:p w14:paraId="23090B19" w14:textId="0FD2D668"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color w:val="333333"/>
          <w:sz w:val="24"/>
          <w:szCs w:val="24"/>
        </w:rPr>
        <w:t>“13.</w:t>
      </w:r>
      <w:proofErr w:type="gramStart"/>
      <w:r w:rsidRPr="00C55638">
        <w:rPr>
          <w:rFonts w:ascii="Arial" w:eastAsia="Times New Roman" w:hAnsi="Arial" w:cs="Arial"/>
          <w:color w:val="333333"/>
          <w:sz w:val="24"/>
          <w:szCs w:val="24"/>
        </w:rPr>
        <w:t>2.</w:t>
      </w:r>
      <w:r w:rsidRPr="00C55638">
        <w:rPr>
          <w:rFonts w:ascii="Arial" w:eastAsia="Times New Roman" w:hAnsi="Arial" w:cs="Arial"/>
          <w:color w:val="000000"/>
          <w:sz w:val="24"/>
          <w:szCs w:val="24"/>
          <w:lang w:val="mn-MN"/>
        </w:rPr>
        <w:t>Шүүхийн</w:t>
      </w:r>
      <w:proofErr w:type="gramEnd"/>
      <w:r w:rsidRPr="00C55638">
        <w:rPr>
          <w:rFonts w:ascii="Arial" w:eastAsia="Times New Roman" w:hAnsi="Arial" w:cs="Arial"/>
          <w:color w:val="000000"/>
          <w:sz w:val="24"/>
          <w:szCs w:val="24"/>
          <w:lang w:val="mn-MN"/>
        </w:rPr>
        <w:t xml:space="preserve"> ерөнхий зөвлөлийн даргыг гишүүд дотроос хуралдаанаараа хэлэлцэж, олонхийн саналаар томилно.”</w:t>
      </w:r>
    </w:p>
    <w:p w14:paraId="4AAF8E07" w14:textId="7A4C8258" w:rsidR="00C55638" w:rsidRPr="00C55638" w:rsidRDefault="00C55638" w:rsidP="00C55638">
      <w:pPr>
        <w:shd w:val="clear" w:color="auto" w:fill="FFFFFF"/>
        <w:spacing w:before="100" w:beforeAutospacing="1" w:after="100" w:afterAutospacing="1" w:line="360" w:lineRule="auto"/>
        <w:ind w:left="720" w:firstLine="720"/>
        <w:jc w:val="both"/>
        <w:rPr>
          <w:rFonts w:eastAsia="Times New Roman"/>
          <w:color w:val="000000"/>
          <w:szCs w:val="15"/>
        </w:rPr>
      </w:pPr>
      <w:r w:rsidRPr="00C55638">
        <w:rPr>
          <w:rFonts w:ascii="Arial" w:eastAsia="Times New Roman" w:hAnsi="Arial" w:cs="Arial"/>
          <w:b/>
          <w:bCs/>
          <w:color w:val="000000"/>
          <w:sz w:val="24"/>
          <w:szCs w:val="24"/>
          <w:lang w:val="mn-MN"/>
        </w:rPr>
        <w:t>3/13 дугаар зүйлийн 13.3 дахь хэсэг:</w:t>
      </w:r>
    </w:p>
    <w:p w14:paraId="4BE87C3B" w14:textId="77777777" w:rsidR="00C55638" w:rsidRPr="00C55638" w:rsidRDefault="00C55638" w:rsidP="00C55638">
      <w:pPr>
        <w:shd w:val="clear" w:color="auto" w:fill="FFFFFF"/>
        <w:spacing w:after="150" w:line="360" w:lineRule="auto"/>
        <w:ind w:firstLine="720"/>
        <w:jc w:val="both"/>
        <w:textAlignment w:val="top"/>
        <w:rPr>
          <w:rFonts w:eastAsia="Times New Roman"/>
          <w:color w:val="000000"/>
          <w:szCs w:val="15"/>
        </w:rPr>
      </w:pPr>
      <w:r w:rsidRPr="00C55638">
        <w:rPr>
          <w:rFonts w:ascii="Arial" w:eastAsia="Times New Roman" w:hAnsi="Arial" w:cs="Arial"/>
          <w:color w:val="000000"/>
          <w:szCs w:val="15"/>
          <w:lang w:val="mn-MN"/>
        </w:rPr>
        <w:t>“13.3.Ерөнхий зөвлөлийн дарга, гишүүний бүрэн эрхийн хугацаа 4 жил байх бөгөөд нэг удаа улируулан томилж болно.”</w:t>
      </w:r>
    </w:p>
    <w:p w14:paraId="6DC3BC09" w14:textId="77777777" w:rsidR="00C55638" w:rsidRPr="00C55638" w:rsidRDefault="00C55638" w:rsidP="00C55638">
      <w:pPr>
        <w:shd w:val="clear" w:color="auto" w:fill="FFFFFF"/>
        <w:spacing w:before="100" w:beforeAutospacing="1" w:after="100" w:afterAutospacing="1" w:line="360" w:lineRule="auto"/>
        <w:ind w:firstLine="720"/>
        <w:jc w:val="both"/>
        <w:rPr>
          <w:rFonts w:eastAsia="Times New Roman"/>
          <w:color w:val="000000"/>
          <w:szCs w:val="15"/>
        </w:rPr>
      </w:pPr>
      <w:r w:rsidRPr="00C55638">
        <w:rPr>
          <w:rFonts w:ascii="Arial" w:eastAsia="Times New Roman" w:hAnsi="Arial" w:cs="Arial"/>
          <w:b/>
          <w:bCs/>
          <w:color w:val="000000"/>
          <w:sz w:val="24"/>
          <w:szCs w:val="24"/>
          <w:lang w:val="mn-MN"/>
        </w:rPr>
        <w:t>5 дугаар зүйл.</w:t>
      </w:r>
      <w:r w:rsidRPr="00C55638">
        <w:rPr>
          <w:rFonts w:ascii="Arial" w:eastAsia="Times New Roman" w:hAnsi="Arial" w:cs="Arial"/>
          <w:color w:val="000000"/>
          <w:sz w:val="24"/>
          <w:szCs w:val="24"/>
          <w:lang w:val="mn-MN"/>
        </w:rPr>
        <w:t>Энэ хуулийг 2019 оны .. дүгээр сарын ...-ны өдрөөс эхлэн дагаж мөрдөнө.</w:t>
      </w:r>
    </w:p>
    <w:p w14:paraId="44D0DB59" w14:textId="77777777" w:rsidR="003D2B8E" w:rsidRPr="003E3619" w:rsidRDefault="003D2B8E" w:rsidP="00C55638">
      <w:pPr>
        <w:spacing w:line="360" w:lineRule="auto"/>
        <w:ind w:firstLine="720"/>
        <w:jc w:val="both"/>
        <w:rPr>
          <w:rFonts w:ascii="Arial" w:hAnsi="Arial" w:cs="Arial"/>
          <w:sz w:val="24"/>
          <w:szCs w:val="24"/>
          <w:lang w:val="mn-MN"/>
        </w:rPr>
      </w:pPr>
    </w:p>
    <w:p w14:paraId="1B7BD14E"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78196D5B"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02853BF7"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4C5A289A"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39D48CCA"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2A2A00FE"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2874E16C" w14:textId="77777777" w:rsidR="003D2B8E" w:rsidRPr="003E3619" w:rsidRDefault="003D2B8E" w:rsidP="00C55638">
      <w:pPr>
        <w:shd w:val="clear" w:color="auto" w:fill="FFFFFF"/>
        <w:spacing w:line="360" w:lineRule="auto"/>
        <w:jc w:val="center"/>
        <w:textAlignment w:val="top"/>
        <w:rPr>
          <w:rFonts w:ascii="Arial" w:hAnsi="Arial" w:cs="Arial"/>
          <w:b/>
          <w:sz w:val="24"/>
          <w:szCs w:val="24"/>
          <w:lang w:val="mn-MN"/>
        </w:rPr>
      </w:pPr>
    </w:p>
    <w:p w14:paraId="26F8BB36" w14:textId="77777777" w:rsidR="003D2B8E" w:rsidRPr="003E3619" w:rsidRDefault="003D2B8E" w:rsidP="00C55638">
      <w:pPr>
        <w:shd w:val="clear" w:color="auto" w:fill="FFFFFF"/>
        <w:spacing w:line="360" w:lineRule="auto"/>
        <w:jc w:val="center"/>
        <w:textAlignment w:val="top"/>
        <w:rPr>
          <w:rFonts w:ascii="Arial" w:eastAsia="Times New Roman" w:hAnsi="Arial" w:cs="Arial"/>
          <w:b/>
          <w:bCs/>
          <w:color w:val="275DFF"/>
          <w:sz w:val="24"/>
          <w:szCs w:val="24"/>
        </w:rPr>
      </w:pPr>
    </w:p>
    <w:p w14:paraId="7D21F3AA" w14:textId="77777777" w:rsidR="003D2B8E" w:rsidRPr="003E3619" w:rsidRDefault="003D2B8E" w:rsidP="00617F63">
      <w:pPr>
        <w:shd w:val="clear" w:color="auto" w:fill="FFFFFF"/>
        <w:spacing w:line="360" w:lineRule="auto"/>
        <w:textAlignment w:val="top"/>
        <w:rPr>
          <w:rFonts w:ascii="Arial" w:eastAsia="Times New Roman" w:hAnsi="Arial" w:cs="Arial"/>
          <w:b/>
          <w:bCs/>
          <w:color w:val="275DFF"/>
          <w:sz w:val="24"/>
          <w:szCs w:val="24"/>
        </w:rPr>
      </w:pPr>
    </w:p>
    <w:sectPr w:rsidR="003D2B8E" w:rsidRPr="003E3619" w:rsidSect="00396830">
      <w:pgSz w:w="12240" w:h="15840"/>
      <w:pgMar w:top="1440" w:right="81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8E"/>
    <w:rsid w:val="00031003"/>
    <w:rsid w:val="00284DAA"/>
    <w:rsid w:val="00356503"/>
    <w:rsid w:val="003D2B8E"/>
    <w:rsid w:val="003E3619"/>
    <w:rsid w:val="005D38D6"/>
    <w:rsid w:val="005E4AF1"/>
    <w:rsid w:val="00617F63"/>
    <w:rsid w:val="00764B94"/>
    <w:rsid w:val="00772786"/>
    <w:rsid w:val="008339B0"/>
    <w:rsid w:val="0098164E"/>
    <w:rsid w:val="009C07BD"/>
    <w:rsid w:val="00AD1190"/>
    <w:rsid w:val="00C51A78"/>
    <w:rsid w:val="00C55638"/>
    <w:rsid w:val="00D44EEE"/>
    <w:rsid w:val="00F4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26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B8E"/>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B8E"/>
    <w:pPr>
      <w:spacing w:before="100" w:beforeAutospacing="1" w:after="100" w:afterAutospacing="1"/>
    </w:pPr>
    <w:rPr>
      <w:rFonts w:ascii="Times New Roman" w:eastAsiaTheme="minorHAnsi" w:hAnsi="Times New Roman"/>
      <w:sz w:val="24"/>
      <w:szCs w:val="24"/>
    </w:rPr>
  </w:style>
  <w:style w:type="paragraph" w:styleId="DocumentMap">
    <w:name w:val="Document Map"/>
    <w:basedOn w:val="Normal"/>
    <w:link w:val="DocumentMapChar"/>
    <w:uiPriority w:val="99"/>
    <w:semiHidden/>
    <w:unhideWhenUsed/>
    <w:rsid w:val="005D38D6"/>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5D38D6"/>
    <w:rPr>
      <w:rFonts w:ascii="Times New Roman" w:eastAsia="Verdana" w:hAnsi="Times New Roman" w:cs="Times New Roman"/>
    </w:rPr>
  </w:style>
  <w:style w:type="paragraph" w:styleId="BalloonText">
    <w:name w:val="Balloon Text"/>
    <w:basedOn w:val="Normal"/>
    <w:link w:val="BalloonTextChar"/>
    <w:uiPriority w:val="99"/>
    <w:semiHidden/>
    <w:unhideWhenUsed/>
    <w:rsid w:val="003E3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19"/>
    <w:rPr>
      <w:rFonts w:ascii="Segoe UI" w:eastAsia="Verdana" w:hAnsi="Segoe UI" w:cs="Segoe UI"/>
      <w:sz w:val="18"/>
      <w:szCs w:val="18"/>
    </w:rPr>
  </w:style>
  <w:style w:type="character" w:customStyle="1" w:styleId="mceitemhiddenspellword">
    <w:name w:val="mceitemhiddenspellword"/>
    <w:basedOn w:val="DefaultParagraphFont"/>
    <w:rsid w:val="00C5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072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2019-02-19T06:07:00Z</cp:lastPrinted>
  <dcterms:created xsi:type="dcterms:W3CDTF">2019-02-19T06:36:00Z</dcterms:created>
  <dcterms:modified xsi:type="dcterms:W3CDTF">2019-02-19T06:36:00Z</dcterms:modified>
</cp:coreProperties>
</file>